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050" w:rsidRPr="00B66050" w:rsidRDefault="00E47FE0" w:rsidP="00B66050">
      <w:pPr>
        <w:tabs>
          <w:tab w:val="right" w:leader="dot" w:pos="9345"/>
        </w:tabs>
        <w:spacing w:after="100" w:line="256" w:lineRule="auto"/>
        <w:jc w:val="center"/>
        <w:rPr>
          <w:noProof/>
          <w:sz w:val="22"/>
          <w:szCs w:val="22"/>
        </w:rPr>
      </w:pPr>
      <w:hyperlink w:anchor="_Toc122335499" w:history="1">
        <w:r w:rsidR="00B66050" w:rsidRPr="00B66050">
          <w:rPr>
            <w:b/>
            <w:noProof/>
            <w:color w:val="0000FF"/>
            <w:sz w:val="28"/>
            <w:szCs w:val="28"/>
            <w:lang w:eastAsia="en-US"/>
          </w:rPr>
          <w:t xml:space="preserve">  РАБОТА С ОБРАЩЕНИЯМИ ГРАЖДАН</w:t>
        </w:r>
      </w:hyperlink>
    </w:p>
    <w:p w:rsidR="00BF09A4" w:rsidRDefault="00B66050" w:rsidP="00BF09A4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Институт обращений граждан в О</w:t>
      </w:r>
      <w:r w:rsidR="00BF09A4" w:rsidRPr="00BF09A4">
        <w:rPr>
          <w:sz w:val="28"/>
          <w:szCs w:val="28"/>
        </w:rPr>
        <w:t xml:space="preserve">бщественную палату является индикатором состояния общества, способом выражения общественного мнения и средством получения информации </w:t>
      </w:r>
      <w:r>
        <w:rPr>
          <w:sz w:val="28"/>
          <w:szCs w:val="28"/>
        </w:rPr>
        <w:t xml:space="preserve">непосредственно </w:t>
      </w:r>
      <w:r w:rsidR="00BF09A4" w:rsidRPr="00BF09A4">
        <w:rPr>
          <w:sz w:val="28"/>
          <w:szCs w:val="28"/>
        </w:rPr>
        <w:t>от граждан о качестве и недостат</w:t>
      </w:r>
      <w:r w:rsidR="00A211F4">
        <w:rPr>
          <w:sz w:val="28"/>
          <w:szCs w:val="28"/>
        </w:rPr>
        <w:t>ках работы</w:t>
      </w:r>
      <w:r w:rsidR="00BF09A4" w:rsidRPr="00BF09A4">
        <w:rPr>
          <w:sz w:val="28"/>
          <w:szCs w:val="28"/>
        </w:rPr>
        <w:t>.</w:t>
      </w:r>
      <w:r w:rsidR="00863E2A" w:rsidRPr="00863E2A">
        <w:t xml:space="preserve"> </w:t>
      </w:r>
      <w:r w:rsidR="00863E2A" w:rsidRPr="00863E2A">
        <w:rPr>
          <w:sz w:val="28"/>
          <w:szCs w:val="28"/>
        </w:rPr>
        <w:t>Именно обращения граждан позволяют им не только осуществлять и охранять свои права и свободы, но и реализовывать своеобразн</w:t>
      </w:r>
      <w:r w:rsidR="00BF1821">
        <w:rPr>
          <w:sz w:val="28"/>
          <w:szCs w:val="28"/>
        </w:rPr>
        <w:t>ую форму общественного контроля</w:t>
      </w:r>
      <w:r w:rsidR="00A211F4">
        <w:rPr>
          <w:sz w:val="28"/>
          <w:szCs w:val="28"/>
        </w:rPr>
        <w:t>.</w:t>
      </w:r>
      <w:r w:rsidR="00A211F4" w:rsidRPr="00A211F4">
        <w:t xml:space="preserve"> </w:t>
      </w:r>
      <w:r w:rsidR="00A211F4">
        <w:rPr>
          <w:sz w:val="28"/>
          <w:szCs w:val="28"/>
        </w:rPr>
        <w:t>О</w:t>
      </w:r>
      <w:r w:rsidR="00A211F4" w:rsidRPr="00A211F4">
        <w:rPr>
          <w:sz w:val="28"/>
          <w:szCs w:val="28"/>
        </w:rPr>
        <w:t>бращения, хоть и носят в определенной степени личный характер, но являются формой гражданского участия, указания власти на потребности граждан</w:t>
      </w:r>
      <w:r w:rsidR="00A211F4">
        <w:rPr>
          <w:sz w:val="28"/>
          <w:szCs w:val="28"/>
        </w:rPr>
        <w:t xml:space="preserve">. </w:t>
      </w:r>
      <w:r w:rsidR="00BF1821" w:rsidRPr="00BF1821">
        <w:rPr>
          <w:sz w:val="28"/>
          <w:szCs w:val="28"/>
        </w:rPr>
        <w:t>Исследования обращений жителей являются важным инструментом и составляющей процесса определения потребностей и проблем населения</w:t>
      </w:r>
      <w:r w:rsidR="00BF1821">
        <w:rPr>
          <w:sz w:val="28"/>
          <w:szCs w:val="28"/>
        </w:rPr>
        <w:t xml:space="preserve">. </w:t>
      </w:r>
      <w:r w:rsidR="00A211F4" w:rsidRPr="00A211F4">
        <w:rPr>
          <w:sz w:val="28"/>
          <w:szCs w:val="28"/>
        </w:rPr>
        <w:t>Это позволяет создать открытую и прозрачную систему коммуника</w:t>
      </w:r>
      <w:r w:rsidR="00990B0F">
        <w:rPr>
          <w:sz w:val="28"/>
          <w:szCs w:val="28"/>
        </w:rPr>
        <w:t>ции между властью и гражданским обществом</w:t>
      </w:r>
      <w:r w:rsidR="00A211F4" w:rsidRPr="00A211F4">
        <w:rPr>
          <w:sz w:val="28"/>
          <w:szCs w:val="28"/>
        </w:rPr>
        <w:t>.</w:t>
      </w:r>
      <w:bookmarkStart w:id="0" w:name="_GoBack"/>
      <w:bookmarkEnd w:id="0"/>
    </w:p>
    <w:p w:rsidR="00990B0F" w:rsidRDefault="00990B0F" w:rsidP="00BF09A4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90B0F">
        <w:rPr>
          <w:sz w:val="28"/>
          <w:szCs w:val="28"/>
        </w:rPr>
        <w:t>В целях обеспечения прав граждан на получение информации</w:t>
      </w:r>
      <w:r>
        <w:rPr>
          <w:sz w:val="28"/>
          <w:szCs w:val="28"/>
        </w:rPr>
        <w:t xml:space="preserve"> (помощи)</w:t>
      </w:r>
      <w:r w:rsidRPr="00990B0F">
        <w:rPr>
          <w:sz w:val="28"/>
          <w:szCs w:val="28"/>
        </w:rPr>
        <w:t xml:space="preserve"> по интересующим вопросам</w:t>
      </w:r>
      <w:r>
        <w:rPr>
          <w:sz w:val="28"/>
          <w:szCs w:val="28"/>
        </w:rPr>
        <w:t>, предусмотрена возможность подат</w:t>
      </w:r>
      <w:r w:rsidR="00BF1821">
        <w:rPr>
          <w:sz w:val="28"/>
          <w:szCs w:val="28"/>
        </w:rPr>
        <w:t xml:space="preserve">ь обращение на личном приеме, </w:t>
      </w:r>
      <w:r>
        <w:rPr>
          <w:sz w:val="28"/>
          <w:szCs w:val="28"/>
        </w:rPr>
        <w:t>через виртуальную приемную на официальном сайте ОП КБР</w:t>
      </w:r>
      <w:r w:rsidR="00BF1821">
        <w:rPr>
          <w:sz w:val="28"/>
          <w:szCs w:val="28"/>
        </w:rPr>
        <w:t xml:space="preserve"> или электронную почту</w:t>
      </w:r>
      <w:r w:rsidRPr="00990B0F">
        <w:rPr>
          <w:sz w:val="28"/>
          <w:szCs w:val="28"/>
        </w:rPr>
        <w:t xml:space="preserve">. </w:t>
      </w:r>
      <w:r>
        <w:rPr>
          <w:sz w:val="28"/>
          <w:szCs w:val="28"/>
        </w:rPr>
        <w:t>График</w:t>
      </w:r>
      <w:r w:rsidRPr="00990B0F">
        <w:rPr>
          <w:sz w:val="28"/>
          <w:szCs w:val="28"/>
        </w:rPr>
        <w:t xml:space="preserve"> приема </w:t>
      </w:r>
      <w:r>
        <w:rPr>
          <w:sz w:val="28"/>
          <w:szCs w:val="28"/>
        </w:rPr>
        <w:t xml:space="preserve">также </w:t>
      </w:r>
      <w:r w:rsidR="00A26C69">
        <w:rPr>
          <w:sz w:val="28"/>
          <w:szCs w:val="28"/>
        </w:rPr>
        <w:t xml:space="preserve">размещен </w:t>
      </w:r>
      <w:r w:rsidR="00A26C69" w:rsidRPr="00990B0F">
        <w:rPr>
          <w:sz w:val="28"/>
          <w:szCs w:val="28"/>
        </w:rPr>
        <w:t>на</w:t>
      </w:r>
      <w:r w:rsidRPr="00990B0F">
        <w:rPr>
          <w:sz w:val="28"/>
          <w:szCs w:val="28"/>
        </w:rPr>
        <w:t xml:space="preserve"> официально</w:t>
      </w:r>
      <w:r>
        <w:rPr>
          <w:sz w:val="28"/>
          <w:szCs w:val="28"/>
        </w:rPr>
        <w:t>м сайте</w:t>
      </w:r>
      <w:r w:rsidRPr="00990B0F">
        <w:rPr>
          <w:sz w:val="28"/>
          <w:szCs w:val="28"/>
        </w:rPr>
        <w:t>.</w:t>
      </w:r>
      <w:r w:rsidR="00BF1821" w:rsidRPr="00BF1821">
        <w:t xml:space="preserve"> </w:t>
      </w:r>
      <w:r w:rsidR="00BF1821" w:rsidRPr="00BF1821">
        <w:rPr>
          <w:sz w:val="28"/>
          <w:szCs w:val="28"/>
        </w:rPr>
        <w:t>При рассмотрении всех обращений соблюдаются установленные законодательством сроки, направляются ответы обратившемуся лицу с подробными разъяснениями по всем затронутым в обращении вопросам.</w:t>
      </w:r>
    </w:p>
    <w:p w:rsidR="00311AE0" w:rsidRPr="001D6458" w:rsidRDefault="00311AE0" w:rsidP="00311AE0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1D6458">
        <w:rPr>
          <w:sz w:val="28"/>
          <w:szCs w:val="28"/>
        </w:rPr>
        <w:t>Число обращений граждан в 2025 году в адрес предсе</w:t>
      </w:r>
      <w:r w:rsidR="00003DBF">
        <w:rPr>
          <w:sz w:val="28"/>
          <w:szCs w:val="28"/>
        </w:rPr>
        <w:t xml:space="preserve">дателя ОП КБР увеличилось на </w:t>
      </w:r>
      <w:r w:rsidRPr="001D6458">
        <w:rPr>
          <w:sz w:val="28"/>
          <w:szCs w:val="28"/>
        </w:rPr>
        <w:t>3</w:t>
      </w:r>
      <w:r w:rsidR="00003DBF">
        <w:rPr>
          <w:sz w:val="28"/>
          <w:szCs w:val="28"/>
        </w:rPr>
        <w:t>1,5</w:t>
      </w:r>
      <w:r w:rsidRPr="001D6458">
        <w:rPr>
          <w:sz w:val="28"/>
          <w:szCs w:val="28"/>
        </w:rPr>
        <w:t xml:space="preserve">% по сравнению с предыдущим </w:t>
      </w:r>
      <w:r w:rsidR="00A43939" w:rsidRPr="001D6458">
        <w:rPr>
          <w:sz w:val="28"/>
          <w:szCs w:val="28"/>
        </w:rPr>
        <w:t xml:space="preserve">годом </w:t>
      </w:r>
      <w:r w:rsidR="00A43939">
        <w:rPr>
          <w:sz w:val="28"/>
          <w:szCs w:val="28"/>
        </w:rPr>
        <w:t>и</w:t>
      </w:r>
      <w:r w:rsidR="00003DBF">
        <w:rPr>
          <w:sz w:val="28"/>
          <w:szCs w:val="28"/>
        </w:rPr>
        <w:t xml:space="preserve"> составило 25 обращений</w:t>
      </w:r>
      <w:r w:rsidR="00A43939">
        <w:rPr>
          <w:sz w:val="28"/>
          <w:szCs w:val="28"/>
        </w:rPr>
        <w:t xml:space="preserve"> (в 2024 г.</w:t>
      </w:r>
      <w:r w:rsidR="00A43939" w:rsidRPr="00A43939">
        <w:rPr>
          <w:sz w:val="28"/>
          <w:szCs w:val="28"/>
        </w:rPr>
        <w:t xml:space="preserve"> – 19)</w:t>
      </w:r>
      <w:r w:rsidRPr="001D6458">
        <w:rPr>
          <w:sz w:val="28"/>
          <w:szCs w:val="28"/>
        </w:rPr>
        <w:t xml:space="preserve">. </w:t>
      </w:r>
    </w:p>
    <w:p w:rsidR="00311AE0" w:rsidRPr="001D6458" w:rsidRDefault="00311AE0" w:rsidP="00311AE0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1D6458">
        <w:rPr>
          <w:sz w:val="28"/>
          <w:szCs w:val="28"/>
        </w:rPr>
        <w:t>«Социальный портрет» обратившихся в Общественную палату граждан за последние два года отражен в диаграмме № 1. В 2025 году большинство обращений поступило от категории</w:t>
      </w:r>
      <w:r w:rsidR="00B66050">
        <w:rPr>
          <w:sz w:val="28"/>
          <w:szCs w:val="28"/>
        </w:rPr>
        <w:t xml:space="preserve"> работающих граждан</w:t>
      </w:r>
      <w:r w:rsidRPr="001D6458">
        <w:rPr>
          <w:sz w:val="28"/>
          <w:szCs w:val="28"/>
        </w:rPr>
        <w:t>.</w:t>
      </w:r>
    </w:p>
    <w:p w:rsidR="00BF1821" w:rsidRDefault="00BF1821" w:rsidP="00311AE0">
      <w:pPr>
        <w:widowControl w:val="0"/>
        <w:ind w:firstLine="567"/>
        <w:contextualSpacing/>
        <w:jc w:val="right"/>
        <w:rPr>
          <w:b/>
          <w:sz w:val="28"/>
          <w:szCs w:val="28"/>
        </w:rPr>
      </w:pPr>
    </w:p>
    <w:p w:rsidR="00311AE0" w:rsidRPr="005B1626" w:rsidRDefault="00311AE0" w:rsidP="00311AE0">
      <w:pPr>
        <w:widowControl w:val="0"/>
        <w:ind w:firstLine="567"/>
        <w:contextualSpacing/>
        <w:jc w:val="right"/>
        <w:rPr>
          <w:sz w:val="24"/>
          <w:szCs w:val="24"/>
        </w:rPr>
      </w:pPr>
      <w:r w:rsidRPr="005B1626">
        <w:rPr>
          <w:sz w:val="28"/>
          <w:szCs w:val="28"/>
        </w:rPr>
        <w:t>Диаграмма</w:t>
      </w:r>
      <w:r w:rsidRPr="005B1626">
        <w:rPr>
          <w:sz w:val="24"/>
          <w:szCs w:val="24"/>
        </w:rPr>
        <w:t xml:space="preserve"> № 1</w:t>
      </w:r>
    </w:p>
    <w:p w:rsidR="00311AE0" w:rsidRPr="00922C31" w:rsidRDefault="00311AE0" w:rsidP="00311AE0">
      <w:pPr>
        <w:autoSpaceDE w:val="0"/>
        <w:autoSpaceDN w:val="0"/>
        <w:adjustRightInd w:val="0"/>
        <w:jc w:val="both"/>
        <w:rPr>
          <w:sz w:val="28"/>
          <w:szCs w:val="28"/>
          <w14:props3d w14:extrusionH="57150" w14:contourW="0" w14:prstMaterial="warmMatte">
            <w14:bevelT w14:w="82550" w14:h="38100" w14:prst="coolSlant"/>
          </w14:props3d>
        </w:rPr>
      </w:pPr>
      <w:r w:rsidRPr="00BD5288">
        <w:rPr>
          <w:rFonts w:asciiTheme="majorHAnsi" w:hAnsiTheme="majorHAnsi"/>
          <w:noProof/>
          <w:sz w:val="44"/>
          <w:szCs w:val="44"/>
        </w:rPr>
        <w:drawing>
          <wp:inline distT="0" distB="0" distL="0" distR="0" wp14:anchorId="4181456C" wp14:editId="17511EB9">
            <wp:extent cx="5867400" cy="3209925"/>
            <wp:effectExtent l="0" t="0" r="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63E2A" w:rsidRDefault="00863E2A" w:rsidP="00311AE0">
      <w:pPr>
        <w:tabs>
          <w:tab w:val="left" w:pos="708"/>
          <w:tab w:val="center" w:pos="4153"/>
          <w:tab w:val="right" w:pos="8306"/>
        </w:tabs>
        <w:ind w:firstLine="851"/>
        <w:contextualSpacing/>
        <w:jc w:val="both"/>
        <w:rPr>
          <w:sz w:val="28"/>
          <w:szCs w:val="28"/>
          <w:lang w:val="x-none" w:eastAsia="ar-SA"/>
        </w:rPr>
      </w:pPr>
    </w:p>
    <w:p w:rsidR="00311AE0" w:rsidRDefault="00311AE0" w:rsidP="00311AE0">
      <w:pPr>
        <w:tabs>
          <w:tab w:val="left" w:pos="708"/>
          <w:tab w:val="center" w:pos="4153"/>
          <w:tab w:val="right" w:pos="8306"/>
        </w:tabs>
        <w:ind w:firstLine="851"/>
        <w:contextualSpacing/>
        <w:jc w:val="both"/>
        <w:rPr>
          <w:sz w:val="28"/>
          <w:szCs w:val="28"/>
          <w:lang w:eastAsia="ar-SA"/>
        </w:rPr>
      </w:pPr>
      <w:r w:rsidRPr="00A04AD8">
        <w:rPr>
          <w:sz w:val="28"/>
          <w:szCs w:val="28"/>
          <w:lang w:val="x-none" w:eastAsia="ar-SA"/>
        </w:rPr>
        <w:lastRenderedPageBreak/>
        <w:t xml:space="preserve">Поступившие обращения граждан в </w:t>
      </w:r>
      <w:r w:rsidR="00A43939">
        <w:rPr>
          <w:sz w:val="28"/>
          <w:szCs w:val="28"/>
          <w:lang w:eastAsia="ar-SA"/>
        </w:rPr>
        <w:t>ОП КБР</w:t>
      </w:r>
      <w:r w:rsidRPr="00A04AD8">
        <w:rPr>
          <w:sz w:val="28"/>
          <w:szCs w:val="28"/>
          <w:lang w:eastAsia="ar-SA"/>
        </w:rPr>
        <w:t xml:space="preserve"> за последние 2 года </w:t>
      </w:r>
      <w:r w:rsidR="00BF1821">
        <w:rPr>
          <w:sz w:val="28"/>
          <w:szCs w:val="28"/>
          <w:lang w:eastAsia="ar-SA"/>
        </w:rPr>
        <w:t>в разрезе социальный статус/возрастная категория</w:t>
      </w:r>
      <w:r w:rsidRPr="00A04AD8">
        <w:rPr>
          <w:sz w:val="28"/>
          <w:szCs w:val="28"/>
          <w:lang w:eastAsia="ar-SA"/>
        </w:rPr>
        <w:t xml:space="preserve"> распределились следующим образом: </w:t>
      </w:r>
    </w:p>
    <w:p w:rsidR="005B1626" w:rsidRDefault="005B1626" w:rsidP="005B1626">
      <w:pPr>
        <w:tabs>
          <w:tab w:val="left" w:pos="708"/>
          <w:tab w:val="center" w:pos="4153"/>
          <w:tab w:val="right" w:pos="8306"/>
        </w:tabs>
        <w:ind w:firstLine="851"/>
        <w:contextualSpacing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Таблица№1</w:t>
      </w:r>
    </w:p>
    <w:p w:rsidR="001D6458" w:rsidRPr="00A04AD8" w:rsidRDefault="001D6458" w:rsidP="00311AE0">
      <w:pPr>
        <w:tabs>
          <w:tab w:val="left" w:pos="708"/>
          <w:tab w:val="center" w:pos="4153"/>
          <w:tab w:val="right" w:pos="8306"/>
        </w:tabs>
        <w:ind w:firstLine="851"/>
        <w:contextualSpacing/>
        <w:jc w:val="both"/>
        <w:rPr>
          <w:sz w:val="28"/>
          <w:szCs w:val="28"/>
          <w:lang w:eastAsia="ar-SA"/>
        </w:rPr>
      </w:pPr>
    </w:p>
    <w:tbl>
      <w:tblPr>
        <w:tblStyle w:val="ac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842"/>
        <w:gridCol w:w="1701"/>
        <w:gridCol w:w="1985"/>
      </w:tblGrid>
      <w:tr w:rsidR="00311AE0" w:rsidRPr="001D6458" w:rsidTr="00863E2A">
        <w:tc>
          <w:tcPr>
            <w:tcW w:w="2405" w:type="dxa"/>
          </w:tcPr>
          <w:p w:rsidR="00311AE0" w:rsidRPr="001D6458" w:rsidRDefault="00311AE0" w:rsidP="00863E2A">
            <w:pPr>
              <w:contextualSpacing/>
              <w:rPr>
                <w:sz w:val="27"/>
                <w:szCs w:val="27"/>
              </w:rPr>
            </w:pPr>
            <w:r w:rsidRPr="001D6458">
              <w:rPr>
                <w:b/>
                <w:bCs/>
                <w:sz w:val="27"/>
                <w:szCs w:val="27"/>
              </w:rPr>
              <w:t>Социальный статус</w:t>
            </w:r>
          </w:p>
        </w:tc>
        <w:tc>
          <w:tcPr>
            <w:tcW w:w="3260" w:type="dxa"/>
            <w:gridSpan w:val="2"/>
          </w:tcPr>
          <w:p w:rsidR="00311AE0" w:rsidRPr="001D6458" w:rsidRDefault="00311AE0" w:rsidP="00863E2A">
            <w:pPr>
              <w:contextualSpacing/>
              <w:rPr>
                <w:sz w:val="27"/>
                <w:szCs w:val="27"/>
              </w:rPr>
            </w:pPr>
            <w:r w:rsidRPr="001D6458">
              <w:rPr>
                <w:b/>
                <w:bCs/>
                <w:sz w:val="27"/>
                <w:szCs w:val="27"/>
              </w:rPr>
              <w:t>2024 год</w:t>
            </w:r>
          </w:p>
        </w:tc>
        <w:tc>
          <w:tcPr>
            <w:tcW w:w="3686" w:type="dxa"/>
            <w:gridSpan w:val="2"/>
          </w:tcPr>
          <w:p w:rsidR="00311AE0" w:rsidRPr="001D6458" w:rsidRDefault="00311AE0" w:rsidP="00863E2A">
            <w:pPr>
              <w:contextualSpacing/>
              <w:rPr>
                <w:b/>
                <w:sz w:val="27"/>
                <w:szCs w:val="27"/>
              </w:rPr>
            </w:pPr>
            <w:r w:rsidRPr="001D6458">
              <w:rPr>
                <w:b/>
                <w:sz w:val="27"/>
                <w:szCs w:val="27"/>
              </w:rPr>
              <w:t>2025 год</w:t>
            </w:r>
          </w:p>
        </w:tc>
      </w:tr>
      <w:tr w:rsidR="00311AE0" w:rsidRPr="001D6458" w:rsidTr="00863E2A">
        <w:tc>
          <w:tcPr>
            <w:tcW w:w="2405" w:type="dxa"/>
          </w:tcPr>
          <w:p w:rsidR="00311AE0" w:rsidRPr="001D6458" w:rsidRDefault="00311AE0" w:rsidP="00863E2A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:rsidR="00311AE0" w:rsidRPr="001D6458" w:rsidRDefault="00311AE0" w:rsidP="00863E2A">
            <w:pPr>
              <w:contextualSpacing/>
              <w:rPr>
                <w:sz w:val="27"/>
                <w:szCs w:val="27"/>
              </w:rPr>
            </w:pPr>
            <w:r w:rsidRPr="001D6458">
              <w:rPr>
                <w:b/>
                <w:bCs/>
                <w:sz w:val="27"/>
                <w:szCs w:val="27"/>
              </w:rPr>
              <w:t>Кол-во</w:t>
            </w:r>
          </w:p>
        </w:tc>
        <w:tc>
          <w:tcPr>
            <w:tcW w:w="1842" w:type="dxa"/>
          </w:tcPr>
          <w:p w:rsidR="00311AE0" w:rsidRPr="001D6458" w:rsidRDefault="00311AE0" w:rsidP="00863E2A">
            <w:pPr>
              <w:contextualSpacing/>
              <w:rPr>
                <w:sz w:val="27"/>
                <w:szCs w:val="27"/>
              </w:rPr>
            </w:pPr>
            <w:r w:rsidRPr="001D6458">
              <w:rPr>
                <w:b/>
                <w:bCs/>
                <w:sz w:val="27"/>
                <w:szCs w:val="27"/>
              </w:rPr>
              <w:t>% от общего числа</w:t>
            </w:r>
          </w:p>
        </w:tc>
        <w:tc>
          <w:tcPr>
            <w:tcW w:w="1701" w:type="dxa"/>
          </w:tcPr>
          <w:p w:rsidR="00311AE0" w:rsidRPr="001D6458" w:rsidRDefault="00311AE0" w:rsidP="00863E2A">
            <w:pPr>
              <w:contextualSpacing/>
              <w:rPr>
                <w:sz w:val="27"/>
                <w:szCs w:val="27"/>
              </w:rPr>
            </w:pPr>
            <w:r w:rsidRPr="001D6458">
              <w:rPr>
                <w:b/>
                <w:bCs/>
                <w:sz w:val="27"/>
                <w:szCs w:val="27"/>
              </w:rPr>
              <w:t>Кол-во</w:t>
            </w:r>
          </w:p>
        </w:tc>
        <w:tc>
          <w:tcPr>
            <w:tcW w:w="1985" w:type="dxa"/>
          </w:tcPr>
          <w:p w:rsidR="00311AE0" w:rsidRPr="001D6458" w:rsidRDefault="00311AE0" w:rsidP="00863E2A">
            <w:pPr>
              <w:contextualSpacing/>
              <w:rPr>
                <w:sz w:val="27"/>
                <w:szCs w:val="27"/>
              </w:rPr>
            </w:pPr>
            <w:r w:rsidRPr="001D6458">
              <w:rPr>
                <w:b/>
                <w:bCs/>
                <w:sz w:val="27"/>
                <w:szCs w:val="27"/>
              </w:rPr>
              <w:t>% от общего числа</w:t>
            </w:r>
          </w:p>
        </w:tc>
      </w:tr>
      <w:tr w:rsidR="00311AE0" w:rsidRPr="001D6458" w:rsidTr="00863E2A">
        <w:tc>
          <w:tcPr>
            <w:tcW w:w="2405" w:type="dxa"/>
          </w:tcPr>
          <w:p w:rsidR="00311AE0" w:rsidRPr="001D6458" w:rsidRDefault="00311AE0" w:rsidP="00863E2A">
            <w:pPr>
              <w:contextualSpacing/>
              <w:rPr>
                <w:sz w:val="27"/>
                <w:szCs w:val="27"/>
              </w:rPr>
            </w:pPr>
            <w:r w:rsidRPr="001D6458">
              <w:rPr>
                <w:sz w:val="27"/>
                <w:szCs w:val="27"/>
              </w:rPr>
              <w:t>Работающие</w:t>
            </w:r>
          </w:p>
        </w:tc>
        <w:tc>
          <w:tcPr>
            <w:tcW w:w="1418" w:type="dxa"/>
          </w:tcPr>
          <w:p w:rsidR="00311AE0" w:rsidRPr="001D6458" w:rsidRDefault="00311AE0" w:rsidP="00863E2A">
            <w:pPr>
              <w:contextualSpacing/>
              <w:rPr>
                <w:sz w:val="27"/>
                <w:szCs w:val="27"/>
              </w:rPr>
            </w:pPr>
            <w:r w:rsidRPr="001D6458">
              <w:rPr>
                <w:sz w:val="27"/>
                <w:szCs w:val="27"/>
              </w:rPr>
              <w:t>6</w:t>
            </w:r>
          </w:p>
        </w:tc>
        <w:tc>
          <w:tcPr>
            <w:tcW w:w="1842" w:type="dxa"/>
          </w:tcPr>
          <w:p w:rsidR="00311AE0" w:rsidRPr="001D6458" w:rsidRDefault="00311AE0" w:rsidP="00863E2A">
            <w:pPr>
              <w:contextualSpacing/>
              <w:rPr>
                <w:sz w:val="27"/>
                <w:szCs w:val="27"/>
              </w:rPr>
            </w:pPr>
            <w:r w:rsidRPr="001D6458">
              <w:rPr>
                <w:sz w:val="27"/>
                <w:szCs w:val="27"/>
              </w:rPr>
              <w:t>31,5%</w:t>
            </w:r>
          </w:p>
        </w:tc>
        <w:tc>
          <w:tcPr>
            <w:tcW w:w="1701" w:type="dxa"/>
          </w:tcPr>
          <w:p w:rsidR="00311AE0" w:rsidRPr="001D6458" w:rsidRDefault="00003DBF" w:rsidP="00863E2A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1985" w:type="dxa"/>
          </w:tcPr>
          <w:p w:rsidR="00311AE0" w:rsidRPr="001D6458" w:rsidRDefault="00643855" w:rsidP="00863E2A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</w:t>
            </w:r>
            <w:r w:rsidR="00311AE0" w:rsidRPr="001D6458">
              <w:rPr>
                <w:sz w:val="27"/>
                <w:szCs w:val="27"/>
              </w:rPr>
              <w:t>%</w:t>
            </w:r>
          </w:p>
        </w:tc>
      </w:tr>
      <w:tr w:rsidR="00311AE0" w:rsidRPr="001D6458" w:rsidTr="00863E2A">
        <w:tc>
          <w:tcPr>
            <w:tcW w:w="2405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Пенсионеры</w:t>
            </w:r>
          </w:p>
        </w:tc>
        <w:tc>
          <w:tcPr>
            <w:tcW w:w="1418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12</w:t>
            </w:r>
          </w:p>
        </w:tc>
        <w:tc>
          <w:tcPr>
            <w:tcW w:w="1842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63,2%</w:t>
            </w:r>
          </w:p>
        </w:tc>
        <w:tc>
          <w:tcPr>
            <w:tcW w:w="1701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10</w:t>
            </w:r>
          </w:p>
        </w:tc>
        <w:tc>
          <w:tcPr>
            <w:tcW w:w="1985" w:type="dxa"/>
          </w:tcPr>
          <w:p w:rsidR="00311AE0" w:rsidRPr="00863E2A" w:rsidRDefault="00643855" w:rsidP="00863E2A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</w:t>
            </w:r>
            <w:r w:rsidR="00311AE0" w:rsidRPr="00863E2A">
              <w:rPr>
                <w:sz w:val="27"/>
                <w:szCs w:val="27"/>
              </w:rPr>
              <w:t>%</w:t>
            </w:r>
          </w:p>
        </w:tc>
      </w:tr>
      <w:tr w:rsidR="00311AE0" w:rsidRPr="001D6458" w:rsidTr="00863E2A">
        <w:tc>
          <w:tcPr>
            <w:tcW w:w="2405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Учащиеся, студенты</w:t>
            </w:r>
          </w:p>
        </w:tc>
        <w:tc>
          <w:tcPr>
            <w:tcW w:w="1418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-</w:t>
            </w:r>
          </w:p>
        </w:tc>
        <w:tc>
          <w:tcPr>
            <w:tcW w:w="1842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-</w:t>
            </w:r>
          </w:p>
        </w:tc>
        <w:tc>
          <w:tcPr>
            <w:tcW w:w="1985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</w:p>
        </w:tc>
      </w:tr>
      <w:tr w:rsidR="00311AE0" w:rsidRPr="001D6458" w:rsidTr="00863E2A">
        <w:tc>
          <w:tcPr>
            <w:tcW w:w="2405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Безработные</w:t>
            </w:r>
          </w:p>
        </w:tc>
        <w:tc>
          <w:tcPr>
            <w:tcW w:w="1418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1</w:t>
            </w:r>
          </w:p>
        </w:tc>
        <w:tc>
          <w:tcPr>
            <w:tcW w:w="1842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5,3%</w:t>
            </w:r>
          </w:p>
        </w:tc>
        <w:tc>
          <w:tcPr>
            <w:tcW w:w="1701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-</w:t>
            </w:r>
          </w:p>
        </w:tc>
        <w:tc>
          <w:tcPr>
            <w:tcW w:w="1985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-</w:t>
            </w:r>
          </w:p>
        </w:tc>
      </w:tr>
      <w:tr w:rsidR="00311AE0" w:rsidRPr="001D6458" w:rsidTr="00863E2A">
        <w:tc>
          <w:tcPr>
            <w:tcW w:w="2405" w:type="dxa"/>
          </w:tcPr>
          <w:p w:rsidR="00311AE0" w:rsidRPr="00863E2A" w:rsidRDefault="00311AE0" w:rsidP="00863E2A">
            <w:pPr>
              <w:contextualSpacing/>
              <w:rPr>
                <w:b/>
                <w:sz w:val="27"/>
                <w:szCs w:val="27"/>
              </w:rPr>
            </w:pPr>
            <w:r w:rsidRPr="00863E2A">
              <w:rPr>
                <w:b/>
                <w:bCs/>
                <w:sz w:val="27"/>
                <w:szCs w:val="27"/>
              </w:rPr>
              <w:t>ИТОГО:</w:t>
            </w:r>
          </w:p>
        </w:tc>
        <w:tc>
          <w:tcPr>
            <w:tcW w:w="1418" w:type="dxa"/>
          </w:tcPr>
          <w:p w:rsidR="00311AE0" w:rsidRPr="00863E2A" w:rsidRDefault="00311AE0" w:rsidP="00863E2A">
            <w:pPr>
              <w:contextualSpacing/>
              <w:rPr>
                <w:b/>
                <w:sz w:val="27"/>
                <w:szCs w:val="27"/>
              </w:rPr>
            </w:pPr>
            <w:r w:rsidRPr="00863E2A">
              <w:rPr>
                <w:b/>
                <w:sz w:val="27"/>
                <w:szCs w:val="27"/>
              </w:rPr>
              <w:t>19</w:t>
            </w:r>
          </w:p>
        </w:tc>
        <w:tc>
          <w:tcPr>
            <w:tcW w:w="1842" w:type="dxa"/>
          </w:tcPr>
          <w:p w:rsidR="00311AE0" w:rsidRPr="00863E2A" w:rsidRDefault="00311AE0" w:rsidP="00863E2A">
            <w:pPr>
              <w:contextualSpacing/>
              <w:rPr>
                <w:b/>
                <w:sz w:val="27"/>
                <w:szCs w:val="27"/>
              </w:rPr>
            </w:pPr>
            <w:r w:rsidRPr="00863E2A">
              <w:rPr>
                <w:b/>
                <w:sz w:val="27"/>
                <w:szCs w:val="27"/>
              </w:rPr>
              <w:t>100%</w:t>
            </w:r>
          </w:p>
        </w:tc>
        <w:tc>
          <w:tcPr>
            <w:tcW w:w="1701" w:type="dxa"/>
          </w:tcPr>
          <w:p w:rsidR="00311AE0" w:rsidRPr="00863E2A" w:rsidRDefault="00643855" w:rsidP="00863E2A">
            <w:pPr>
              <w:contextualSpacing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</w:t>
            </w:r>
          </w:p>
        </w:tc>
        <w:tc>
          <w:tcPr>
            <w:tcW w:w="1985" w:type="dxa"/>
          </w:tcPr>
          <w:p w:rsidR="00311AE0" w:rsidRPr="00863E2A" w:rsidRDefault="00311AE0" w:rsidP="00863E2A">
            <w:pPr>
              <w:contextualSpacing/>
              <w:rPr>
                <w:b/>
                <w:sz w:val="27"/>
                <w:szCs w:val="27"/>
              </w:rPr>
            </w:pPr>
            <w:r w:rsidRPr="00863E2A">
              <w:rPr>
                <w:b/>
                <w:sz w:val="27"/>
                <w:szCs w:val="27"/>
              </w:rPr>
              <w:t>100%</w:t>
            </w:r>
          </w:p>
        </w:tc>
      </w:tr>
      <w:tr w:rsidR="00311AE0" w:rsidRPr="001D6458" w:rsidTr="00863E2A">
        <w:tc>
          <w:tcPr>
            <w:tcW w:w="2405" w:type="dxa"/>
          </w:tcPr>
          <w:p w:rsidR="00311AE0" w:rsidRPr="00863E2A" w:rsidRDefault="00311AE0" w:rsidP="00863E2A">
            <w:pPr>
              <w:contextualSpacing/>
              <w:rPr>
                <w:b/>
                <w:bCs/>
                <w:sz w:val="27"/>
                <w:szCs w:val="27"/>
              </w:rPr>
            </w:pPr>
          </w:p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b/>
                <w:bCs/>
                <w:sz w:val="27"/>
                <w:szCs w:val="27"/>
              </w:rPr>
              <w:t>Возрастная категория</w:t>
            </w:r>
          </w:p>
        </w:tc>
        <w:tc>
          <w:tcPr>
            <w:tcW w:w="1418" w:type="dxa"/>
          </w:tcPr>
          <w:p w:rsidR="00311AE0" w:rsidRPr="00863E2A" w:rsidRDefault="00311AE0" w:rsidP="00863E2A">
            <w:pPr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1842" w:type="dxa"/>
          </w:tcPr>
          <w:p w:rsidR="00311AE0" w:rsidRPr="00863E2A" w:rsidRDefault="00311AE0" w:rsidP="00863E2A">
            <w:pPr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1701" w:type="dxa"/>
          </w:tcPr>
          <w:p w:rsidR="00311AE0" w:rsidRPr="00863E2A" w:rsidRDefault="00311AE0" w:rsidP="00863E2A">
            <w:pPr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1985" w:type="dxa"/>
          </w:tcPr>
          <w:p w:rsidR="00311AE0" w:rsidRPr="00863E2A" w:rsidRDefault="00311AE0" w:rsidP="00863E2A">
            <w:pPr>
              <w:contextualSpacing/>
              <w:rPr>
                <w:b/>
                <w:sz w:val="27"/>
                <w:szCs w:val="27"/>
              </w:rPr>
            </w:pPr>
          </w:p>
        </w:tc>
      </w:tr>
      <w:tr w:rsidR="00311AE0" w:rsidRPr="001D6458" w:rsidTr="00863E2A">
        <w:tc>
          <w:tcPr>
            <w:tcW w:w="2405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до 35 лет</w:t>
            </w:r>
          </w:p>
        </w:tc>
        <w:tc>
          <w:tcPr>
            <w:tcW w:w="1418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-</w:t>
            </w:r>
          </w:p>
        </w:tc>
        <w:tc>
          <w:tcPr>
            <w:tcW w:w="1842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-</w:t>
            </w:r>
          </w:p>
        </w:tc>
        <w:tc>
          <w:tcPr>
            <w:tcW w:w="1985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-</w:t>
            </w:r>
          </w:p>
        </w:tc>
      </w:tr>
      <w:tr w:rsidR="00311AE0" w:rsidRPr="001D6458" w:rsidTr="00863E2A">
        <w:tc>
          <w:tcPr>
            <w:tcW w:w="2405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от 35 до 55 лет</w:t>
            </w:r>
          </w:p>
        </w:tc>
        <w:tc>
          <w:tcPr>
            <w:tcW w:w="1418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3</w:t>
            </w:r>
          </w:p>
        </w:tc>
        <w:tc>
          <w:tcPr>
            <w:tcW w:w="1842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15,8%</w:t>
            </w:r>
          </w:p>
        </w:tc>
        <w:tc>
          <w:tcPr>
            <w:tcW w:w="1701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11</w:t>
            </w:r>
          </w:p>
        </w:tc>
        <w:tc>
          <w:tcPr>
            <w:tcW w:w="1985" w:type="dxa"/>
          </w:tcPr>
          <w:p w:rsidR="00311AE0" w:rsidRPr="00863E2A" w:rsidRDefault="00643855" w:rsidP="00863E2A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</w:t>
            </w:r>
            <w:r w:rsidR="00311AE0" w:rsidRPr="00863E2A">
              <w:rPr>
                <w:sz w:val="27"/>
                <w:szCs w:val="27"/>
              </w:rPr>
              <w:t>%</w:t>
            </w:r>
          </w:p>
        </w:tc>
      </w:tr>
      <w:tr w:rsidR="00311AE0" w:rsidRPr="001D6458" w:rsidTr="00863E2A">
        <w:tc>
          <w:tcPr>
            <w:tcW w:w="2405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от 55 лет и старше</w:t>
            </w:r>
          </w:p>
        </w:tc>
        <w:tc>
          <w:tcPr>
            <w:tcW w:w="1418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16</w:t>
            </w:r>
          </w:p>
        </w:tc>
        <w:tc>
          <w:tcPr>
            <w:tcW w:w="1842" w:type="dxa"/>
          </w:tcPr>
          <w:p w:rsidR="00311AE0" w:rsidRPr="00863E2A" w:rsidRDefault="00311AE0" w:rsidP="00863E2A">
            <w:pPr>
              <w:contextualSpacing/>
              <w:rPr>
                <w:sz w:val="27"/>
                <w:szCs w:val="27"/>
              </w:rPr>
            </w:pPr>
            <w:r w:rsidRPr="00863E2A">
              <w:rPr>
                <w:sz w:val="27"/>
                <w:szCs w:val="27"/>
              </w:rPr>
              <w:t>84,2%</w:t>
            </w:r>
          </w:p>
        </w:tc>
        <w:tc>
          <w:tcPr>
            <w:tcW w:w="1701" w:type="dxa"/>
          </w:tcPr>
          <w:p w:rsidR="00311AE0" w:rsidRPr="00863E2A" w:rsidRDefault="00643855" w:rsidP="00863E2A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1985" w:type="dxa"/>
          </w:tcPr>
          <w:p w:rsidR="00311AE0" w:rsidRPr="00863E2A" w:rsidRDefault="00643855" w:rsidP="00863E2A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</w:t>
            </w:r>
            <w:r w:rsidR="00311AE0" w:rsidRPr="00863E2A">
              <w:rPr>
                <w:sz w:val="27"/>
                <w:szCs w:val="27"/>
              </w:rPr>
              <w:t>%</w:t>
            </w:r>
          </w:p>
        </w:tc>
      </w:tr>
      <w:tr w:rsidR="00311AE0" w:rsidRPr="001D6458" w:rsidTr="00863E2A">
        <w:tc>
          <w:tcPr>
            <w:tcW w:w="2405" w:type="dxa"/>
          </w:tcPr>
          <w:p w:rsidR="00311AE0" w:rsidRPr="00863E2A" w:rsidRDefault="00311AE0" w:rsidP="00863E2A">
            <w:pPr>
              <w:contextualSpacing/>
              <w:rPr>
                <w:b/>
                <w:sz w:val="27"/>
                <w:szCs w:val="27"/>
              </w:rPr>
            </w:pPr>
            <w:r w:rsidRPr="00863E2A">
              <w:rPr>
                <w:b/>
                <w:bCs/>
                <w:sz w:val="27"/>
                <w:szCs w:val="27"/>
              </w:rPr>
              <w:t>ИТОГО:</w:t>
            </w:r>
          </w:p>
        </w:tc>
        <w:tc>
          <w:tcPr>
            <w:tcW w:w="1418" w:type="dxa"/>
          </w:tcPr>
          <w:p w:rsidR="00311AE0" w:rsidRPr="00863E2A" w:rsidRDefault="00311AE0" w:rsidP="00863E2A">
            <w:pPr>
              <w:contextualSpacing/>
              <w:rPr>
                <w:b/>
                <w:sz w:val="27"/>
                <w:szCs w:val="27"/>
              </w:rPr>
            </w:pPr>
            <w:r w:rsidRPr="00863E2A">
              <w:rPr>
                <w:b/>
                <w:sz w:val="27"/>
                <w:szCs w:val="27"/>
              </w:rPr>
              <w:t>19</w:t>
            </w:r>
          </w:p>
        </w:tc>
        <w:tc>
          <w:tcPr>
            <w:tcW w:w="1842" w:type="dxa"/>
          </w:tcPr>
          <w:p w:rsidR="00311AE0" w:rsidRPr="00863E2A" w:rsidRDefault="00311AE0" w:rsidP="00863E2A">
            <w:pPr>
              <w:contextualSpacing/>
              <w:rPr>
                <w:b/>
                <w:sz w:val="27"/>
                <w:szCs w:val="27"/>
              </w:rPr>
            </w:pPr>
            <w:r w:rsidRPr="00863E2A">
              <w:rPr>
                <w:b/>
                <w:sz w:val="27"/>
                <w:szCs w:val="27"/>
              </w:rPr>
              <w:t>100%</w:t>
            </w:r>
          </w:p>
        </w:tc>
        <w:tc>
          <w:tcPr>
            <w:tcW w:w="1701" w:type="dxa"/>
          </w:tcPr>
          <w:p w:rsidR="00311AE0" w:rsidRPr="00863E2A" w:rsidRDefault="00643855" w:rsidP="00863E2A">
            <w:pPr>
              <w:contextualSpacing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</w:t>
            </w:r>
          </w:p>
        </w:tc>
        <w:tc>
          <w:tcPr>
            <w:tcW w:w="1985" w:type="dxa"/>
          </w:tcPr>
          <w:p w:rsidR="00311AE0" w:rsidRPr="00863E2A" w:rsidRDefault="00311AE0" w:rsidP="00863E2A">
            <w:pPr>
              <w:contextualSpacing/>
              <w:rPr>
                <w:b/>
                <w:sz w:val="27"/>
                <w:szCs w:val="27"/>
              </w:rPr>
            </w:pPr>
            <w:r w:rsidRPr="00863E2A">
              <w:rPr>
                <w:b/>
                <w:sz w:val="27"/>
                <w:szCs w:val="27"/>
              </w:rPr>
              <w:t>100%</w:t>
            </w:r>
          </w:p>
        </w:tc>
      </w:tr>
    </w:tbl>
    <w:p w:rsidR="00311AE0" w:rsidRPr="00A04AD8" w:rsidRDefault="00311AE0" w:rsidP="00311AE0">
      <w:pPr>
        <w:ind w:firstLine="851"/>
        <w:contextualSpacing/>
        <w:jc w:val="right"/>
        <w:rPr>
          <w:b/>
          <w:sz w:val="28"/>
          <w:szCs w:val="28"/>
        </w:rPr>
      </w:pPr>
    </w:p>
    <w:p w:rsidR="00311AE0" w:rsidRPr="001D6458" w:rsidRDefault="00311AE0" w:rsidP="001D6458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1D6458">
        <w:rPr>
          <w:b/>
          <w:sz w:val="28"/>
          <w:szCs w:val="28"/>
        </w:rPr>
        <w:t>Тематическая структура обращений граждан</w:t>
      </w:r>
      <w:r w:rsidRPr="001D6458">
        <w:rPr>
          <w:sz w:val="28"/>
          <w:szCs w:val="28"/>
        </w:rPr>
        <w:t xml:space="preserve"> в Общественную палату</w:t>
      </w:r>
      <w:r w:rsidR="00863E2A">
        <w:rPr>
          <w:sz w:val="28"/>
          <w:szCs w:val="28"/>
        </w:rPr>
        <w:t xml:space="preserve"> в 2025 г. показывает, что по-</w:t>
      </w:r>
      <w:r w:rsidRPr="001D6458">
        <w:rPr>
          <w:sz w:val="28"/>
          <w:szCs w:val="28"/>
        </w:rPr>
        <w:t>прежнему острыми и актуальными остаются:</w:t>
      </w:r>
    </w:p>
    <w:p w:rsidR="00311AE0" w:rsidRPr="001D6458" w:rsidRDefault="00311AE0" w:rsidP="001D6458">
      <w:pPr>
        <w:ind w:firstLine="851"/>
        <w:contextualSpacing/>
        <w:jc w:val="both"/>
        <w:rPr>
          <w:sz w:val="28"/>
          <w:szCs w:val="28"/>
        </w:rPr>
      </w:pPr>
      <w:r w:rsidRPr="001D6458">
        <w:rPr>
          <w:sz w:val="28"/>
          <w:szCs w:val="28"/>
          <w:shd w:val="clear" w:color="auto" w:fill="FFFFFF"/>
        </w:rPr>
        <w:t xml:space="preserve"> - </w:t>
      </w:r>
      <w:r w:rsidRPr="001D6458">
        <w:rPr>
          <w:b/>
          <w:sz w:val="28"/>
          <w:szCs w:val="28"/>
        </w:rPr>
        <w:t>вопросы жилья и жилищно-коммунального хозяйства</w:t>
      </w:r>
      <w:r w:rsidR="002B7DD3">
        <w:rPr>
          <w:sz w:val="28"/>
          <w:szCs w:val="28"/>
        </w:rPr>
        <w:t xml:space="preserve"> (40</w:t>
      </w:r>
      <w:r w:rsidR="008204FB">
        <w:rPr>
          <w:sz w:val="28"/>
          <w:szCs w:val="28"/>
        </w:rPr>
        <w:t>%). Среди ни</w:t>
      </w:r>
      <w:r w:rsidRPr="001D6458">
        <w:rPr>
          <w:sz w:val="28"/>
          <w:szCs w:val="28"/>
        </w:rPr>
        <w:t>х преобладают обращения о предоставлении жилья социально незащищённым гражданам, об улучшении их жилищных условий, постановке на учет</w:t>
      </w:r>
      <w:r w:rsidR="00863E2A">
        <w:rPr>
          <w:sz w:val="28"/>
          <w:szCs w:val="28"/>
        </w:rPr>
        <w:t xml:space="preserve"> нуждающихся в жилье, бесплатном предоставлении</w:t>
      </w:r>
      <w:r w:rsidRPr="001D6458">
        <w:rPr>
          <w:sz w:val="28"/>
          <w:szCs w:val="28"/>
        </w:rPr>
        <w:t xml:space="preserve"> земельного участка под индивидуальное жили</w:t>
      </w:r>
      <w:r w:rsidR="00863E2A">
        <w:rPr>
          <w:sz w:val="28"/>
          <w:szCs w:val="28"/>
        </w:rPr>
        <w:t>щное строительство, обустройстве придомовых территорий, уборке</w:t>
      </w:r>
      <w:r w:rsidRPr="001D6458">
        <w:rPr>
          <w:sz w:val="28"/>
          <w:szCs w:val="28"/>
        </w:rPr>
        <w:t xml:space="preserve"> города и вывоз</w:t>
      </w:r>
      <w:r w:rsidR="00863E2A">
        <w:rPr>
          <w:sz w:val="28"/>
          <w:szCs w:val="28"/>
        </w:rPr>
        <w:t>е</w:t>
      </w:r>
      <w:r w:rsidRPr="001D6458">
        <w:rPr>
          <w:sz w:val="28"/>
          <w:szCs w:val="28"/>
        </w:rPr>
        <w:t xml:space="preserve"> мусора на городских и придо</w:t>
      </w:r>
      <w:r w:rsidR="00863E2A">
        <w:rPr>
          <w:sz w:val="28"/>
          <w:szCs w:val="28"/>
        </w:rPr>
        <w:t>мовых территориях, о содержании</w:t>
      </w:r>
      <w:r w:rsidRPr="001D6458">
        <w:rPr>
          <w:sz w:val="28"/>
          <w:szCs w:val="28"/>
        </w:rPr>
        <w:t xml:space="preserve"> общедомового имущества и др.;</w:t>
      </w:r>
    </w:p>
    <w:p w:rsidR="00311AE0" w:rsidRPr="001D6458" w:rsidRDefault="00311AE0" w:rsidP="001D6458">
      <w:pPr>
        <w:ind w:firstLine="851"/>
        <w:contextualSpacing/>
        <w:jc w:val="both"/>
        <w:rPr>
          <w:sz w:val="28"/>
          <w:szCs w:val="28"/>
        </w:rPr>
      </w:pPr>
      <w:r w:rsidRPr="001D6458">
        <w:rPr>
          <w:b/>
          <w:sz w:val="28"/>
          <w:szCs w:val="28"/>
        </w:rPr>
        <w:t xml:space="preserve"> - другие вопросы </w:t>
      </w:r>
      <w:r w:rsidR="002B7DD3">
        <w:rPr>
          <w:sz w:val="28"/>
          <w:szCs w:val="28"/>
        </w:rPr>
        <w:t>(36</w:t>
      </w:r>
      <w:r w:rsidRPr="00643855">
        <w:rPr>
          <w:sz w:val="28"/>
          <w:szCs w:val="28"/>
        </w:rPr>
        <w:t>%).</w:t>
      </w:r>
      <w:r w:rsidRPr="001D6458">
        <w:rPr>
          <w:sz w:val="28"/>
          <w:szCs w:val="28"/>
        </w:rPr>
        <w:t xml:space="preserve"> Анализ обращений показал, что граждан волнуют не только их личные проблемы</w:t>
      </w:r>
      <w:r w:rsidR="00003DBF">
        <w:rPr>
          <w:sz w:val="28"/>
          <w:szCs w:val="28"/>
        </w:rPr>
        <w:t xml:space="preserve">, но и другие (разные) вопросы, в числе которых – вопросы экологии (утилизация </w:t>
      </w:r>
      <w:r w:rsidR="008204FB" w:rsidRPr="008204FB">
        <w:rPr>
          <w:sz w:val="28"/>
          <w:szCs w:val="28"/>
        </w:rPr>
        <w:t xml:space="preserve">отработанных элементов питания </w:t>
      </w:r>
      <w:r w:rsidR="008204FB">
        <w:rPr>
          <w:sz w:val="28"/>
          <w:szCs w:val="28"/>
        </w:rPr>
        <w:t xml:space="preserve">- </w:t>
      </w:r>
      <w:r w:rsidR="00003DBF">
        <w:rPr>
          <w:sz w:val="28"/>
          <w:szCs w:val="28"/>
        </w:rPr>
        <w:t>батареек),</w:t>
      </w:r>
      <w:r w:rsidRPr="001D6458">
        <w:rPr>
          <w:sz w:val="28"/>
          <w:szCs w:val="28"/>
        </w:rPr>
        <w:t xml:space="preserve"> проектирова</w:t>
      </w:r>
      <w:r w:rsidR="00863E2A">
        <w:rPr>
          <w:sz w:val="28"/>
          <w:szCs w:val="28"/>
        </w:rPr>
        <w:t>ние, обустройство и эксплуатация</w:t>
      </w:r>
      <w:r w:rsidRPr="001D6458">
        <w:rPr>
          <w:sz w:val="28"/>
          <w:szCs w:val="28"/>
        </w:rPr>
        <w:t xml:space="preserve"> детских стадионов, порядок на придомовой и городской территории, проблемы </w:t>
      </w:r>
      <w:r w:rsidR="00863E2A">
        <w:rPr>
          <w:sz w:val="28"/>
          <w:szCs w:val="28"/>
        </w:rPr>
        <w:t xml:space="preserve">благоустройства </w:t>
      </w:r>
      <w:r w:rsidR="00C8509A" w:rsidRPr="00C8509A">
        <w:rPr>
          <w:sz w:val="28"/>
          <w:szCs w:val="28"/>
        </w:rPr>
        <w:t>городской среды</w:t>
      </w:r>
      <w:r w:rsidR="00C8509A">
        <w:rPr>
          <w:sz w:val="28"/>
          <w:szCs w:val="28"/>
        </w:rPr>
        <w:t xml:space="preserve"> и др.</w:t>
      </w:r>
      <w:r w:rsidR="00643855">
        <w:rPr>
          <w:sz w:val="28"/>
          <w:szCs w:val="28"/>
        </w:rPr>
        <w:t>;</w:t>
      </w:r>
    </w:p>
    <w:p w:rsidR="002B7DD3" w:rsidRPr="002B7DD3" w:rsidRDefault="00311AE0" w:rsidP="002B7DD3">
      <w:pPr>
        <w:ind w:firstLine="851"/>
        <w:contextualSpacing/>
        <w:jc w:val="both"/>
        <w:rPr>
          <w:sz w:val="28"/>
          <w:szCs w:val="28"/>
        </w:rPr>
      </w:pPr>
      <w:r w:rsidRPr="001D6458">
        <w:rPr>
          <w:b/>
          <w:sz w:val="28"/>
          <w:szCs w:val="28"/>
        </w:rPr>
        <w:t xml:space="preserve"> -</w:t>
      </w:r>
      <w:r w:rsidR="00643855">
        <w:rPr>
          <w:b/>
          <w:sz w:val="28"/>
          <w:szCs w:val="28"/>
        </w:rPr>
        <w:t xml:space="preserve"> вопросы здравоохранения </w:t>
      </w:r>
      <w:r w:rsidR="002B7DD3">
        <w:rPr>
          <w:sz w:val="28"/>
          <w:szCs w:val="28"/>
        </w:rPr>
        <w:t>(8</w:t>
      </w:r>
      <w:r w:rsidR="00643855" w:rsidRPr="00643855">
        <w:rPr>
          <w:sz w:val="28"/>
          <w:szCs w:val="28"/>
        </w:rPr>
        <w:t>%).</w:t>
      </w:r>
      <w:r w:rsidRPr="001D6458">
        <w:rPr>
          <w:sz w:val="28"/>
          <w:szCs w:val="28"/>
        </w:rPr>
        <w:t xml:space="preserve"> Вопросы, связанные </w:t>
      </w:r>
      <w:r w:rsidR="002B7DD3" w:rsidRPr="002B7DD3">
        <w:rPr>
          <w:sz w:val="28"/>
          <w:szCs w:val="28"/>
        </w:rPr>
        <w:t>с предоставлением медицинских услуг, деятельностью медицинских учреждений, а также правами и обязанностями пациентов. Они могут возникать в различных аспектах медицинской сферы и охватывать широкий спектр вопросов.</w:t>
      </w:r>
    </w:p>
    <w:p w:rsidR="00311AE0" w:rsidRPr="001D6458" w:rsidRDefault="00311AE0" w:rsidP="002B7DD3">
      <w:pPr>
        <w:ind w:firstLine="851"/>
        <w:contextualSpacing/>
        <w:jc w:val="both"/>
        <w:rPr>
          <w:sz w:val="28"/>
          <w:szCs w:val="28"/>
        </w:rPr>
      </w:pPr>
      <w:r w:rsidRPr="001D6458">
        <w:rPr>
          <w:b/>
          <w:sz w:val="28"/>
          <w:szCs w:val="28"/>
        </w:rPr>
        <w:t>- вопросы п</w:t>
      </w:r>
      <w:r w:rsidR="002B7DD3">
        <w:rPr>
          <w:b/>
          <w:sz w:val="28"/>
          <w:szCs w:val="28"/>
        </w:rPr>
        <w:t>о пенсионному обеспечению, трудовым отношениям,</w:t>
      </w:r>
      <w:r w:rsidRPr="001D6458">
        <w:rPr>
          <w:b/>
          <w:sz w:val="28"/>
          <w:szCs w:val="28"/>
        </w:rPr>
        <w:t xml:space="preserve"> заработной</w:t>
      </w:r>
      <w:r w:rsidR="002B7DD3">
        <w:rPr>
          <w:b/>
          <w:sz w:val="28"/>
          <w:szCs w:val="28"/>
        </w:rPr>
        <w:t xml:space="preserve"> плате, </w:t>
      </w:r>
      <w:r w:rsidR="002B7DD3" w:rsidRPr="005B1626">
        <w:rPr>
          <w:sz w:val="28"/>
          <w:szCs w:val="28"/>
        </w:rPr>
        <w:t xml:space="preserve">а также </w:t>
      </w:r>
      <w:r w:rsidR="002B7DD3">
        <w:rPr>
          <w:b/>
          <w:sz w:val="28"/>
          <w:szCs w:val="28"/>
        </w:rPr>
        <w:t>вопросы</w:t>
      </w:r>
      <w:r w:rsidR="005B1626">
        <w:rPr>
          <w:b/>
          <w:sz w:val="28"/>
          <w:szCs w:val="28"/>
        </w:rPr>
        <w:t xml:space="preserve">, касающиеся земельного </w:t>
      </w:r>
      <w:r w:rsidR="00A43939">
        <w:rPr>
          <w:b/>
          <w:sz w:val="28"/>
          <w:szCs w:val="28"/>
        </w:rPr>
        <w:lastRenderedPageBreak/>
        <w:t xml:space="preserve">законодательства </w:t>
      </w:r>
      <w:r w:rsidR="00A43939">
        <w:rPr>
          <w:sz w:val="28"/>
          <w:szCs w:val="28"/>
        </w:rPr>
        <w:t>(16</w:t>
      </w:r>
      <w:r w:rsidRPr="001D6458">
        <w:rPr>
          <w:sz w:val="28"/>
          <w:szCs w:val="28"/>
        </w:rPr>
        <w:t xml:space="preserve">%). </w:t>
      </w:r>
      <w:r w:rsidR="00C8509A">
        <w:rPr>
          <w:sz w:val="28"/>
          <w:szCs w:val="28"/>
        </w:rPr>
        <w:t>Это з</w:t>
      </w:r>
      <w:r w:rsidRPr="001D6458">
        <w:rPr>
          <w:sz w:val="28"/>
          <w:szCs w:val="28"/>
        </w:rPr>
        <w:t>ащита прав участников долевого строительства в судебном порядке (в связи с нарушением сроков передачи имущества, по строительным недоделкам, о признании права собственности на долю в объекте незавершенного строительства</w:t>
      </w:r>
      <w:r w:rsidR="00C8509A">
        <w:rPr>
          <w:sz w:val="28"/>
          <w:szCs w:val="28"/>
        </w:rPr>
        <w:t>)</w:t>
      </w:r>
      <w:r w:rsidRPr="001D6458">
        <w:rPr>
          <w:sz w:val="28"/>
          <w:szCs w:val="28"/>
        </w:rPr>
        <w:t>.</w:t>
      </w:r>
      <w:r w:rsidR="00472C67" w:rsidRPr="00472C67">
        <w:t xml:space="preserve"> </w:t>
      </w:r>
      <w:r w:rsidR="00472C67" w:rsidRPr="00472C67">
        <w:rPr>
          <w:sz w:val="28"/>
          <w:szCs w:val="28"/>
        </w:rPr>
        <w:t>Жители обращались за пом</w:t>
      </w:r>
      <w:r w:rsidR="00A43939">
        <w:rPr>
          <w:sz w:val="28"/>
          <w:szCs w:val="28"/>
        </w:rPr>
        <w:t>ощью в оформлении</w:t>
      </w:r>
      <w:r w:rsidR="00472C67" w:rsidRPr="00472C67">
        <w:rPr>
          <w:sz w:val="28"/>
          <w:szCs w:val="28"/>
        </w:rPr>
        <w:t xml:space="preserve"> необходимых документов для получения права собственности, а также узаконивания самовольно построенных объектов</w:t>
      </w:r>
      <w:r w:rsidR="00472C67">
        <w:rPr>
          <w:sz w:val="28"/>
          <w:szCs w:val="28"/>
        </w:rPr>
        <w:t>.</w:t>
      </w:r>
      <w:r w:rsidRPr="001D6458">
        <w:rPr>
          <w:sz w:val="28"/>
          <w:szCs w:val="28"/>
        </w:rPr>
        <w:t xml:space="preserve"> Многие обращения граждан выражают несогласие с постановлениями судов и их исполнением. Есть обращения граждан, оказавших</w:t>
      </w:r>
      <w:r w:rsidR="002B7DD3">
        <w:rPr>
          <w:sz w:val="28"/>
          <w:szCs w:val="28"/>
        </w:rPr>
        <w:t>ся в трудной жизненной ситуации</w:t>
      </w:r>
      <w:r w:rsidRPr="001D6458">
        <w:rPr>
          <w:sz w:val="28"/>
          <w:szCs w:val="28"/>
        </w:rPr>
        <w:t xml:space="preserve"> в связи с неплатежеспособностью и невозможностью погашения кредитов и т.д.</w:t>
      </w:r>
    </w:p>
    <w:p w:rsidR="00311AE0" w:rsidRDefault="00311AE0" w:rsidP="001D6458">
      <w:pPr>
        <w:ind w:firstLine="851"/>
        <w:contextualSpacing/>
        <w:jc w:val="both"/>
        <w:rPr>
          <w:sz w:val="28"/>
          <w:szCs w:val="28"/>
        </w:rPr>
      </w:pPr>
      <w:r w:rsidRPr="001D6458">
        <w:rPr>
          <w:sz w:val="28"/>
          <w:szCs w:val="28"/>
        </w:rPr>
        <w:t xml:space="preserve">В целом, тематика поступивших обращений разнообразна и касается всех направлений жизнедеятельности, поэтому все комиссии </w:t>
      </w:r>
      <w:r w:rsidR="00A43939">
        <w:rPr>
          <w:sz w:val="28"/>
          <w:szCs w:val="28"/>
        </w:rPr>
        <w:t>ОП КБР</w:t>
      </w:r>
      <w:r w:rsidRPr="001D6458">
        <w:rPr>
          <w:sz w:val="28"/>
          <w:szCs w:val="28"/>
        </w:rPr>
        <w:t xml:space="preserve"> участвуют в рассмотрении обращений граждан, направляя запросы в органы государственной власти и местного самоуправления, пр</w:t>
      </w:r>
      <w:r w:rsidR="005B1626">
        <w:rPr>
          <w:sz w:val="28"/>
          <w:szCs w:val="28"/>
        </w:rPr>
        <w:t>оводя общественные проверки</w:t>
      </w:r>
      <w:r w:rsidRPr="001D6458">
        <w:rPr>
          <w:sz w:val="28"/>
          <w:szCs w:val="28"/>
        </w:rPr>
        <w:t>.</w:t>
      </w:r>
      <w:r w:rsidR="00105F42" w:rsidRPr="00105F42">
        <w:t xml:space="preserve"> </w:t>
      </w:r>
      <w:r w:rsidR="00105F42" w:rsidRPr="00105F42">
        <w:rPr>
          <w:sz w:val="28"/>
          <w:szCs w:val="28"/>
        </w:rPr>
        <w:t>Своевременное и качественное разрешение проблем, содержащихся в обращениях, в значительной мере способствует удовлетворению нужд и запросов граждан, снятию напряженности в обществе, повышению авторитета органов власти и управления, укреплению их связи с населением.</w:t>
      </w:r>
    </w:p>
    <w:p w:rsidR="00105F42" w:rsidRPr="001D6458" w:rsidRDefault="00105F42" w:rsidP="001D6458">
      <w:pPr>
        <w:ind w:firstLine="851"/>
        <w:contextualSpacing/>
        <w:jc w:val="both"/>
        <w:rPr>
          <w:sz w:val="28"/>
          <w:szCs w:val="28"/>
        </w:rPr>
      </w:pPr>
    </w:p>
    <w:p w:rsidR="00311AE0" w:rsidRDefault="00311AE0" w:rsidP="001D6458">
      <w:pPr>
        <w:widowControl w:val="0"/>
        <w:ind w:firstLine="567"/>
        <w:contextualSpacing/>
        <w:jc w:val="right"/>
        <w:rPr>
          <w:sz w:val="28"/>
          <w:szCs w:val="28"/>
        </w:rPr>
      </w:pPr>
      <w:r w:rsidRPr="00472C67">
        <w:rPr>
          <w:sz w:val="28"/>
          <w:szCs w:val="28"/>
        </w:rPr>
        <w:t>Диаграмма № 2</w:t>
      </w:r>
    </w:p>
    <w:p w:rsidR="00472C67" w:rsidRPr="00472C67" w:rsidRDefault="00472C67" w:rsidP="001D6458">
      <w:pPr>
        <w:widowControl w:val="0"/>
        <w:ind w:firstLine="567"/>
        <w:contextualSpacing/>
        <w:jc w:val="right"/>
        <w:rPr>
          <w:sz w:val="28"/>
          <w:szCs w:val="28"/>
        </w:rPr>
      </w:pPr>
    </w:p>
    <w:p w:rsidR="00311AE0" w:rsidRDefault="00311AE0" w:rsidP="00311AE0">
      <w:pPr>
        <w:widowControl w:val="0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14548F" wp14:editId="0CFCB204">
            <wp:extent cx="5562600" cy="42767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11AE0" w:rsidRDefault="00311AE0" w:rsidP="00311AE0">
      <w:pPr>
        <w:contextualSpacing/>
        <w:jc w:val="center"/>
        <w:rPr>
          <w:sz w:val="28"/>
          <w:szCs w:val="28"/>
          <w:shd w:val="clear" w:color="auto" w:fill="FFFFFF"/>
        </w:rPr>
      </w:pPr>
    </w:p>
    <w:p w:rsidR="00311AE0" w:rsidRPr="002A4FD9" w:rsidRDefault="00311AE0" w:rsidP="002A4FD9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</w:p>
    <w:p w:rsidR="00A43939" w:rsidRDefault="00A43939" w:rsidP="005B1626">
      <w:pPr>
        <w:shd w:val="clear" w:color="auto" w:fill="FFFFFF"/>
        <w:spacing w:after="120"/>
        <w:ind w:firstLine="851"/>
        <w:jc w:val="right"/>
        <w:rPr>
          <w:sz w:val="28"/>
          <w:szCs w:val="28"/>
        </w:rPr>
      </w:pPr>
    </w:p>
    <w:p w:rsidR="00311AE0" w:rsidRDefault="005B1626" w:rsidP="005B1626">
      <w:pPr>
        <w:shd w:val="clear" w:color="auto" w:fill="FFFFFF"/>
        <w:spacing w:after="120"/>
        <w:ind w:firstLine="851"/>
        <w:jc w:val="right"/>
        <w:rPr>
          <w:sz w:val="28"/>
          <w:szCs w:val="28"/>
        </w:rPr>
      </w:pPr>
      <w:r w:rsidRPr="005B1626">
        <w:rPr>
          <w:sz w:val="28"/>
          <w:szCs w:val="28"/>
        </w:rPr>
        <w:lastRenderedPageBreak/>
        <w:t>Таблица № 2</w:t>
      </w:r>
    </w:p>
    <w:p w:rsidR="005B1626" w:rsidRPr="005B1626" w:rsidRDefault="005B1626" w:rsidP="005B1626">
      <w:pPr>
        <w:shd w:val="clear" w:color="auto" w:fill="FFFFFF"/>
        <w:spacing w:after="120"/>
        <w:ind w:firstLine="851"/>
        <w:jc w:val="center"/>
        <w:rPr>
          <w:sz w:val="28"/>
          <w:szCs w:val="28"/>
        </w:rPr>
      </w:pPr>
      <w:r w:rsidRPr="005B1626">
        <w:rPr>
          <w:b/>
          <w:sz w:val="28"/>
          <w:szCs w:val="28"/>
        </w:rPr>
        <w:t xml:space="preserve">Итоги рассмотрения обращений граждан </w:t>
      </w:r>
      <w:r>
        <w:rPr>
          <w:b/>
          <w:sz w:val="28"/>
          <w:szCs w:val="28"/>
        </w:rPr>
        <w:t xml:space="preserve">(2024, </w:t>
      </w:r>
      <w:r w:rsidRPr="005B1626">
        <w:rPr>
          <w:b/>
          <w:sz w:val="28"/>
          <w:szCs w:val="28"/>
        </w:rPr>
        <w:t>2025 гг.</w:t>
      </w:r>
      <w:r>
        <w:rPr>
          <w:sz w:val="28"/>
          <w:szCs w:val="28"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134"/>
        <w:gridCol w:w="1701"/>
        <w:gridCol w:w="1276"/>
        <w:gridCol w:w="1701"/>
      </w:tblGrid>
      <w:tr w:rsidR="00311AE0" w:rsidRPr="00F26263" w:rsidTr="00472C67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b/>
                <w:bCs/>
                <w:sz w:val="27"/>
                <w:szCs w:val="27"/>
              </w:rPr>
            </w:pPr>
            <w:r w:rsidRPr="00F26263">
              <w:rPr>
                <w:b/>
                <w:bCs/>
                <w:sz w:val="27"/>
                <w:szCs w:val="27"/>
              </w:rPr>
              <w:t>Формы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0" w:rsidRPr="00F26263" w:rsidRDefault="00311AE0" w:rsidP="00472C67">
            <w:pPr>
              <w:contextualSpacing/>
              <w:rPr>
                <w:b/>
                <w:sz w:val="27"/>
                <w:szCs w:val="27"/>
              </w:rPr>
            </w:pPr>
            <w:r w:rsidRPr="00F26263">
              <w:rPr>
                <w:b/>
                <w:sz w:val="27"/>
                <w:szCs w:val="27"/>
              </w:rPr>
              <w:t>202</w:t>
            </w:r>
            <w:r>
              <w:rPr>
                <w:b/>
                <w:sz w:val="27"/>
                <w:szCs w:val="27"/>
              </w:rPr>
              <w:t>4</w:t>
            </w:r>
            <w:r w:rsidRPr="00F26263">
              <w:rPr>
                <w:b/>
                <w:sz w:val="27"/>
                <w:szCs w:val="27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0" w:rsidRPr="00F26263" w:rsidRDefault="00311AE0" w:rsidP="00472C67">
            <w:pPr>
              <w:contextualSpacing/>
              <w:rPr>
                <w:b/>
                <w:sz w:val="27"/>
                <w:szCs w:val="27"/>
              </w:rPr>
            </w:pPr>
            <w:r w:rsidRPr="00F26263">
              <w:rPr>
                <w:b/>
                <w:sz w:val="27"/>
                <w:szCs w:val="27"/>
              </w:rPr>
              <w:t>202</w:t>
            </w:r>
            <w:r>
              <w:rPr>
                <w:b/>
                <w:sz w:val="27"/>
                <w:szCs w:val="27"/>
              </w:rPr>
              <w:t>5</w:t>
            </w:r>
            <w:r w:rsidRPr="00F26263">
              <w:rPr>
                <w:b/>
                <w:sz w:val="27"/>
                <w:szCs w:val="27"/>
              </w:rPr>
              <w:t xml:space="preserve"> год</w:t>
            </w:r>
          </w:p>
        </w:tc>
      </w:tr>
      <w:tr w:rsidR="00311AE0" w:rsidRPr="00F26263" w:rsidTr="00940730"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b/>
                <w:bCs/>
                <w:sz w:val="27"/>
                <w:szCs w:val="27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b/>
                <w:bCs/>
                <w:sz w:val="27"/>
                <w:szCs w:val="27"/>
              </w:rPr>
              <w:t>% от общего числа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b/>
                <w:bCs/>
                <w:sz w:val="27"/>
                <w:szCs w:val="27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b/>
                <w:bCs/>
                <w:sz w:val="27"/>
                <w:szCs w:val="27"/>
              </w:rPr>
              <w:t>% от общего числа</w:t>
            </w:r>
          </w:p>
        </w:tc>
      </w:tr>
      <w:tr w:rsidR="00311AE0" w:rsidRPr="00F26263" w:rsidTr="00940730">
        <w:trPr>
          <w:trHeight w:val="700"/>
        </w:trPr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rPr>
                <w:sz w:val="27"/>
                <w:szCs w:val="27"/>
              </w:rPr>
            </w:pPr>
            <w:r w:rsidRPr="00F26263">
              <w:rPr>
                <w:b/>
                <w:bCs/>
                <w:sz w:val="27"/>
                <w:szCs w:val="27"/>
              </w:rPr>
              <w:t>Рассмотрено обращений на личном приеме членами ОП, из них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F26263">
              <w:rPr>
                <w:b/>
                <w:sz w:val="27"/>
                <w:szCs w:val="27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F26263">
              <w:rPr>
                <w:b/>
                <w:sz w:val="27"/>
                <w:szCs w:val="27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F26263">
              <w:rPr>
                <w:b/>
                <w:sz w:val="27"/>
                <w:szCs w:val="27"/>
              </w:rPr>
              <w:t>1</w:t>
            </w:r>
            <w:r w:rsidR="00A84F93">
              <w:rPr>
                <w:b/>
                <w:sz w:val="27"/>
                <w:szCs w:val="27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F26263">
              <w:rPr>
                <w:b/>
                <w:sz w:val="27"/>
                <w:szCs w:val="27"/>
              </w:rPr>
              <w:t>100%</w:t>
            </w:r>
          </w:p>
        </w:tc>
      </w:tr>
      <w:tr w:rsidR="00311AE0" w:rsidRPr="00F26263" w:rsidTr="00940730">
        <w:tc>
          <w:tcPr>
            <w:tcW w:w="3397" w:type="dxa"/>
            <w:vAlign w:val="center"/>
          </w:tcPr>
          <w:p w:rsidR="00311AE0" w:rsidRPr="00F26263" w:rsidRDefault="00311AE0" w:rsidP="00940730">
            <w:pPr>
              <w:contextualSpacing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 решено положительно</w:t>
            </w:r>
          </w:p>
        </w:tc>
        <w:tc>
          <w:tcPr>
            <w:tcW w:w="1134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2</w:t>
            </w:r>
          </w:p>
        </w:tc>
        <w:tc>
          <w:tcPr>
            <w:tcW w:w="1701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20%</w:t>
            </w:r>
          </w:p>
        </w:tc>
        <w:tc>
          <w:tcPr>
            <w:tcW w:w="1276" w:type="dxa"/>
            <w:vAlign w:val="center"/>
          </w:tcPr>
          <w:p w:rsidR="00311AE0" w:rsidRPr="00F26263" w:rsidRDefault="00A84F93" w:rsidP="00940730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701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1</w:t>
            </w:r>
            <w:r w:rsidR="00A84F93">
              <w:rPr>
                <w:sz w:val="27"/>
                <w:szCs w:val="27"/>
              </w:rPr>
              <w:t>5,8</w:t>
            </w:r>
            <w:r w:rsidRPr="00F26263">
              <w:rPr>
                <w:sz w:val="27"/>
                <w:szCs w:val="27"/>
              </w:rPr>
              <w:t>%</w:t>
            </w:r>
          </w:p>
        </w:tc>
      </w:tr>
      <w:tr w:rsidR="00311AE0" w:rsidRPr="00F26263" w:rsidTr="00940730">
        <w:trPr>
          <w:trHeight w:val="372"/>
        </w:trPr>
        <w:tc>
          <w:tcPr>
            <w:tcW w:w="3397" w:type="dxa"/>
            <w:vAlign w:val="center"/>
          </w:tcPr>
          <w:p w:rsidR="00311AE0" w:rsidRPr="00F26263" w:rsidRDefault="00311AE0" w:rsidP="00940730">
            <w:pPr>
              <w:contextualSpacing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 даны разъяснения, консультации</w:t>
            </w:r>
          </w:p>
        </w:tc>
        <w:tc>
          <w:tcPr>
            <w:tcW w:w="1134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7</w:t>
            </w:r>
          </w:p>
        </w:tc>
        <w:tc>
          <w:tcPr>
            <w:tcW w:w="1701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70%</w:t>
            </w:r>
          </w:p>
        </w:tc>
        <w:tc>
          <w:tcPr>
            <w:tcW w:w="1276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14</w:t>
            </w:r>
          </w:p>
        </w:tc>
        <w:tc>
          <w:tcPr>
            <w:tcW w:w="1701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7</w:t>
            </w:r>
            <w:r w:rsidR="00A84F93">
              <w:rPr>
                <w:sz w:val="27"/>
                <w:szCs w:val="27"/>
              </w:rPr>
              <w:t>3,7</w:t>
            </w:r>
            <w:r w:rsidRPr="00F26263">
              <w:rPr>
                <w:sz w:val="27"/>
                <w:szCs w:val="27"/>
              </w:rPr>
              <w:t>%</w:t>
            </w:r>
          </w:p>
        </w:tc>
      </w:tr>
      <w:tr w:rsidR="00311AE0" w:rsidRPr="00F26263" w:rsidTr="00940730"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 отказано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</w:t>
            </w:r>
          </w:p>
        </w:tc>
      </w:tr>
      <w:tr w:rsidR="00311AE0" w:rsidRPr="00F26263" w:rsidTr="0094073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 находится на рассмотрении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1</w:t>
            </w:r>
            <w:r w:rsidR="00A84F93">
              <w:rPr>
                <w:sz w:val="27"/>
                <w:szCs w:val="27"/>
              </w:rPr>
              <w:t>0,5</w:t>
            </w:r>
            <w:r w:rsidRPr="00F26263">
              <w:rPr>
                <w:sz w:val="27"/>
                <w:szCs w:val="27"/>
              </w:rPr>
              <w:t>%</w:t>
            </w:r>
          </w:p>
        </w:tc>
      </w:tr>
      <w:tr w:rsidR="00311AE0" w:rsidRPr="00F26263" w:rsidTr="0094073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 направлено по компетенции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311AE0" w:rsidRPr="00F26263" w:rsidTr="0094073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rPr>
                <w:sz w:val="27"/>
                <w:szCs w:val="27"/>
              </w:rPr>
            </w:pPr>
            <w:r w:rsidRPr="00F26263">
              <w:rPr>
                <w:b/>
                <w:bCs/>
                <w:sz w:val="27"/>
                <w:szCs w:val="27"/>
              </w:rPr>
              <w:t>Рассмотрено письменных обращений членами ОП, из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F26263">
              <w:rPr>
                <w:b/>
                <w:sz w:val="27"/>
                <w:szCs w:val="27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F26263">
              <w:rPr>
                <w:b/>
                <w:sz w:val="27"/>
                <w:szCs w:val="27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F26263">
              <w:rPr>
                <w:b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F26263">
              <w:rPr>
                <w:b/>
                <w:sz w:val="27"/>
                <w:szCs w:val="27"/>
              </w:rPr>
              <w:t>100%</w:t>
            </w:r>
          </w:p>
        </w:tc>
      </w:tr>
      <w:tr w:rsidR="00311AE0" w:rsidRPr="00F26263" w:rsidTr="00940730"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 решено положительно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33,3%</w:t>
            </w:r>
          </w:p>
        </w:tc>
      </w:tr>
      <w:tr w:rsidR="00311AE0" w:rsidRPr="00F26263" w:rsidTr="00940730">
        <w:tc>
          <w:tcPr>
            <w:tcW w:w="3397" w:type="dxa"/>
            <w:vAlign w:val="center"/>
          </w:tcPr>
          <w:p w:rsidR="00311AE0" w:rsidRPr="00F26263" w:rsidRDefault="00311AE0" w:rsidP="00940730">
            <w:pPr>
              <w:contextualSpacing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 даны разъяснения, консультации</w:t>
            </w:r>
          </w:p>
        </w:tc>
        <w:tc>
          <w:tcPr>
            <w:tcW w:w="1134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9</w:t>
            </w:r>
          </w:p>
        </w:tc>
        <w:tc>
          <w:tcPr>
            <w:tcW w:w="1701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100%</w:t>
            </w:r>
          </w:p>
        </w:tc>
        <w:tc>
          <w:tcPr>
            <w:tcW w:w="1276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4</w:t>
            </w:r>
          </w:p>
        </w:tc>
        <w:tc>
          <w:tcPr>
            <w:tcW w:w="1701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66,7%</w:t>
            </w:r>
          </w:p>
        </w:tc>
      </w:tr>
      <w:tr w:rsidR="00311AE0" w:rsidRPr="00F26263" w:rsidTr="00940730">
        <w:tc>
          <w:tcPr>
            <w:tcW w:w="3397" w:type="dxa"/>
            <w:vAlign w:val="center"/>
          </w:tcPr>
          <w:p w:rsidR="00311AE0" w:rsidRPr="00F26263" w:rsidRDefault="00311AE0" w:rsidP="00940730">
            <w:pPr>
              <w:contextualSpacing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 отказано</w:t>
            </w:r>
          </w:p>
        </w:tc>
        <w:tc>
          <w:tcPr>
            <w:tcW w:w="1134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</w:t>
            </w:r>
          </w:p>
        </w:tc>
      </w:tr>
      <w:tr w:rsidR="00311AE0" w:rsidRPr="00F26263" w:rsidTr="00940730">
        <w:tc>
          <w:tcPr>
            <w:tcW w:w="3397" w:type="dxa"/>
            <w:vAlign w:val="center"/>
          </w:tcPr>
          <w:p w:rsidR="00311AE0" w:rsidRPr="00F26263" w:rsidRDefault="00311AE0" w:rsidP="00940730">
            <w:pPr>
              <w:contextualSpacing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 находится на рассмотрении</w:t>
            </w:r>
          </w:p>
        </w:tc>
        <w:tc>
          <w:tcPr>
            <w:tcW w:w="1134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vAlign w:val="center"/>
          </w:tcPr>
          <w:p w:rsidR="00311AE0" w:rsidRPr="00F26263" w:rsidRDefault="00311AE0" w:rsidP="00940730">
            <w:pPr>
              <w:contextualSpacing/>
              <w:jc w:val="center"/>
              <w:rPr>
                <w:sz w:val="27"/>
                <w:szCs w:val="27"/>
              </w:rPr>
            </w:pPr>
            <w:r w:rsidRPr="00F26263">
              <w:rPr>
                <w:sz w:val="27"/>
                <w:szCs w:val="27"/>
              </w:rPr>
              <w:t>-</w:t>
            </w:r>
          </w:p>
        </w:tc>
      </w:tr>
    </w:tbl>
    <w:p w:rsidR="002A4FD9" w:rsidRDefault="002A4FD9" w:rsidP="00311AE0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</w:p>
    <w:p w:rsidR="00311AE0" w:rsidRDefault="00311AE0" w:rsidP="004B7DF8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B63337">
        <w:rPr>
          <w:sz w:val="28"/>
          <w:szCs w:val="28"/>
          <w:shd w:val="clear" w:color="auto" w:fill="FFFFFF"/>
        </w:rPr>
        <w:t>Результаты анализа</w:t>
      </w:r>
      <w:r w:rsidR="005B1626">
        <w:rPr>
          <w:sz w:val="28"/>
          <w:szCs w:val="28"/>
          <w:shd w:val="clear" w:color="auto" w:fill="FFFFFF"/>
        </w:rPr>
        <w:t xml:space="preserve"> обращений граждан и</w:t>
      </w:r>
      <w:r w:rsidRPr="00B63337">
        <w:rPr>
          <w:sz w:val="28"/>
          <w:szCs w:val="28"/>
          <w:shd w:val="clear" w:color="auto" w:fill="FFFFFF"/>
        </w:rPr>
        <w:t xml:space="preserve"> решений, принятых по их обращениям, показывают, что активность населения в значительной степени вызвана недостаточной информированностью. </w:t>
      </w:r>
      <w:r w:rsidR="004B7DF8" w:rsidRPr="004B7DF8">
        <w:rPr>
          <w:sz w:val="28"/>
          <w:szCs w:val="28"/>
          <w:shd w:val="clear" w:color="auto" w:fill="FFFFFF"/>
        </w:rPr>
        <w:t>По результатам рассмотрения обращений до заявителей доводилась информация о том, какие меры предпринимаются по устранению недостатков в различных сферах деятельности, разъяснялось действующее законодательство.</w:t>
      </w:r>
      <w:r w:rsidR="00A43939" w:rsidRPr="00A43939">
        <w:rPr>
          <w:sz w:val="28"/>
          <w:szCs w:val="28"/>
        </w:rPr>
        <w:t xml:space="preserve"> </w:t>
      </w:r>
      <w:r w:rsidR="00A43939" w:rsidRPr="00A43939">
        <w:rPr>
          <w:sz w:val="28"/>
          <w:szCs w:val="28"/>
          <w:shd w:val="clear" w:color="auto" w:fill="FFFFFF"/>
        </w:rPr>
        <w:t xml:space="preserve">Одной из важнейших форм работы с населением </w:t>
      </w:r>
      <w:r w:rsidR="00A43939">
        <w:rPr>
          <w:sz w:val="28"/>
          <w:szCs w:val="28"/>
          <w:shd w:val="clear" w:color="auto" w:fill="FFFFFF"/>
        </w:rPr>
        <w:t>оста</w:t>
      </w:r>
      <w:r w:rsidR="00A43939" w:rsidRPr="00A43939">
        <w:rPr>
          <w:sz w:val="28"/>
          <w:szCs w:val="28"/>
          <w:shd w:val="clear" w:color="auto" w:fill="FFFFFF"/>
        </w:rPr>
        <w:t>ются личные приемы граждан, на которых они имеют возможность задать интересующие вопросы, обсудить возникшую проблему, получить правовую консультацию и практическую помощь. Проводимая работа по рассмотрению обращений и сообщений граждан, по организации контроля и анализа взаимодействия Общественной палаты с населением</w:t>
      </w:r>
      <w:r w:rsidR="00A43939">
        <w:rPr>
          <w:sz w:val="28"/>
          <w:szCs w:val="28"/>
          <w:shd w:val="clear" w:color="auto" w:fill="FFFFFF"/>
        </w:rPr>
        <w:t>,</w:t>
      </w:r>
      <w:r w:rsidR="00A43939" w:rsidRPr="00A43939">
        <w:rPr>
          <w:sz w:val="28"/>
          <w:szCs w:val="28"/>
          <w:shd w:val="clear" w:color="auto" w:fill="FFFFFF"/>
        </w:rPr>
        <w:t xml:space="preserve"> позволяет обеспечивать стабильную социальную обстановку, способствует оперативному и эффективному разъяснению, решению актуальных вопросов жителей республики.</w:t>
      </w:r>
      <w:r w:rsidR="00A43939">
        <w:rPr>
          <w:sz w:val="28"/>
          <w:szCs w:val="28"/>
          <w:shd w:val="clear" w:color="auto" w:fill="FFFFFF"/>
        </w:rPr>
        <w:t xml:space="preserve"> </w:t>
      </w:r>
      <w:r w:rsidR="00472C67" w:rsidRPr="00472C67">
        <w:t xml:space="preserve"> </w:t>
      </w:r>
      <w:r w:rsidR="00472C67" w:rsidRPr="00472C67">
        <w:rPr>
          <w:sz w:val="28"/>
          <w:szCs w:val="28"/>
          <w:shd w:val="clear" w:color="auto" w:fill="FFFFFF"/>
        </w:rPr>
        <w:t xml:space="preserve">Личные приёмы предоставляют гражданам возможность получить компетентные ответы и юридические консультации по своим вопросам. Кроме того, такой формат встреч, как личный приём граждан, во многом усиливает связь между </w:t>
      </w:r>
      <w:r w:rsidR="00472C67">
        <w:rPr>
          <w:sz w:val="28"/>
          <w:szCs w:val="28"/>
          <w:shd w:val="clear" w:color="auto" w:fill="FFFFFF"/>
        </w:rPr>
        <w:t>Общественной палатой и жителями республики</w:t>
      </w:r>
      <w:r w:rsidR="00472C67" w:rsidRPr="00472C67">
        <w:rPr>
          <w:sz w:val="28"/>
          <w:szCs w:val="28"/>
          <w:shd w:val="clear" w:color="auto" w:fill="FFFFFF"/>
        </w:rPr>
        <w:t>.</w:t>
      </w:r>
    </w:p>
    <w:sectPr w:rsidR="00311AE0" w:rsidSect="002A4FD9">
      <w:headerReference w:type="defaul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537" w:rsidRDefault="00CD7537" w:rsidP="00CD6749">
      <w:r>
        <w:separator/>
      </w:r>
    </w:p>
  </w:endnote>
  <w:endnote w:type="continuationSeparator" w:id="0">
    <w:p w:rsidR="00CD7537" w:rsidRDefault="00CD7537" w:rsidP="00CD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537" w:rsidRDefault="00CD7537" w:rsidP="00CD6749">
      <w:r>
        <w:separator/>
      </w:r>
    </w:p>
  </w:footnote>
  <w:footnote w:type="continuationSeparator" w:id="0">
    <w:p w:rsidR="00CD7537" w:rsidRDefault="00CD7537" w:rsidP="00CD6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49" w:rsidRDefault="00CD67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A0E5D"/>
    <w:multiLevelType w:val="hybridMultilevel"/>
    <w:tmpl w:val="5E6474DE"/>
    <w:lvl w:ilvl="0" w:tplc="68B43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23"/>
    <w:rsid w:val="00003DBF"/>
    <w:rsid w:val="0000655F"/>
    <w:rsid w:val="0002114B"/>
    <w:rsid w:val="000427BA"/>
    <w:rsid w:val="000548A2"/>
    <w:rsid w:val="00060252"/>
    <w:rsid w:val="000613AF"/>
    <w:rsid w:val="00063D96"/>
    <w:rsid w:val="00067809"/>
    <w:rsid w:val="00090525"/>
    <w:rsid w:val="00090B61"/>
    <w:rsid w:val="00092255"/>
    <w:rsid w:val="000A585D"/>
    <w:rsid w:val="000E57B3"/>
    <w:rsid w:val="00105F42"/>
    <w:rsid w:val="001141A2"/>
    <w:rsid w:val="00115590"/>
    <w:rsid w:val="00142848"/>
    <w:rsid w:val="00155CAA"/>
    <w:rsid w:val="0016529B"/>
    <w:rsid w:val="00181448"/>
    <w:rsid w:val="001B3508"/>
    <w:rsid w:val="001D6458"/>
    <w:rsid w:val="001E1418"/>
    <w:rsid w:val="001F6657"/>
    <w:rsid w:val="00213608"/>
    <w:rsid w:val="0022577D"/>
    <w:rsid w:val="00246538"/>
    <w:rsid w:val="00256CBC"/>
    <w:rsid w:val="00260C44"/>
    <w:rsid w:val="002A0E9D"/>
    <w:rsid w:val="002A2D4F"/>
    <w:rsid w:val="002A4FD9"/>
    <w:rsid w:val="002B7DD3"/>
    <w:rsid w:val="002C2C1B"/>
    <w:rsid w:val="002E29AB"/>
    <w:rsid w:val="002F44E1"/>
    <w:rsid w:val="002F4F62"/>
    <w:rsid w:val="00311AE0"/>
    <w:rsid w:val="00364352"/>
    <w:rsid w:val="0038143D"/>
    <w:rsid w:val="003A2D91"/>
    <w:rsid w:val="003B271A"/>
    <w:rsid w:val="003C6DE0"/>
    <w:rsid w:val="00415C07"/>
    <w:rsid w:val="00434425"/>
    <w:rsid w:val="00443C85"/>
    <w:rsid w:val="00454697"/>
    <w:rsid w:val="004548C5"/>
    <w:rsid w:val="0046074B"/>
    <w:rsid w:val="00472C67"/>
    <w:rsid w:val="0047723B"/>
    <w:rsid w:val="00477EE5"/>
    <w:rsid w:val="004842AD"/>
    <w:rsid w:val="004878BE"/>
    <w:rsid w:val="004B0484"/>
    <w:rsid w:val="004B7DF8"/>
    <w:rsid w:val="004E021F"/>
    <w:rsid w:val="00503473"/>
    <w:rsid w:val="00511813"/>
    <w:rsid w:val="005432F0"/>
    <w:rsid w:val="005639F3"/>
    <w:rsid w:val="0058265E"/>
    <w:rsid w:val="00596945"/>
    <w:rsid w:val="005B0BFC"/>
    <w:rsid w:val="005B1626"/>
    <w:rsid w:val="005F0E0F"/>
    <w:rsid w:val="005F0ED2"/>
    <w:rsid w:val="005F686E"/>
    <w:rsid w:val="00602328"/>
    <w:rsid w:val="006074D4"/>
    <w:rsid w:val="006076EC"/>
    <w:rsid w:val="00627A06"/>
    <w:rsid w:val="0063707E"/>
    <w:rsid w:val="00641EF8"/>
    <w:rsid w:val="00643855"/>
    <w:rsid w:val="006546AE"/>
    <w:rsid w:val="00665614"/>
    <w:rsid w:val="00670E1D"/>
    <w:rsid w:val="00681B1E"/>
    <w:rsid w:val="00685BB0"/>
    <w:rsid w:val="006A1782"/>
    <w:rsid w:val="006B069A"/>
    <w:rsid w:val="006C582C"/>
    <w:rsid w:val="006C6DD7"/>
    <w:rsid w:val="006D6B2B"/>
    <w:rsid w:val="006E5C5E"/>
    <w:rsid w:val="006F3262"/>
    <w:rsid w:val="007219A2"/>
    <w:rsid w:val="007341E3"/>
    <w:rsid w:val="00745D17"/>
    <w:rsid w:val="00762C5B"/>
    <w:rsid w:val="00763C7D"/>
    <w:rsid w:val="00771421"/>
    <w:rsid w:val="00773D59"/>
    <w:rsid w:val="007A14E3"/>
    <w:rsid w:val="007B5F75"/>
    <w:rsid w:val="007C7BAA"/>
    <w:rsid w:val="007D30AF"/>
    <w:rsid w:val="007D4AA3"/>
    <w:rsid w:val="007E1C25"/>
    <w:rsid w:val="008204FB"/>
    <w:rsid w:val="00863E2A"/>
    <w:rsid w:val="008835CE"/>
    <w:rsid w:val="008853B2"/>
    <w:rsid w:val="00894A60"/>
    <w:rsid w:val="008956D8"/>
    <w:rsid w:val="008D5C4A"/>
    <w:rsid w:val="008E6823"/>
    <w:rsid w:val="008F1B76"/>
    <w:rsid w:val="008F6415"/>
    <w:rsid w:val="009130A5"/>
    <w:rsid w:val="00914583"/>
    <w:rsid w:val="0092385F"/>
    <w:rsid w:val="009350D1"/>
    <w:rsid w:val="00941717"/>
    <w:rsid w:val="00962C0B"/>
    <w:rsid w:val="00970D3E"/>
    <w:rsid w:val="00971323"/>
    <w:rsid w:val="0098748D"/>
    <w:rsid w:val="00990B0F"/>
    <w:rsid w:val="009D4932"/>
    <w:rsid w:val="009D645D"/>
    <w:rsid w:val="009D7843"/>
    <w:rsid w:val="009E0AC8"/>
    <w:rsid w:val="009E6492"/>
    <w:rsid w:val="009F47AD"/>
    <w:rsid w:val="00A016FF"/>
    <w:rsid w:val="00A211F4"/>
    <w:rsid w:val="00A26C69"/>
    <w:rsid w:val="00A37CEC"/>
    <w:rsid w:val="00A43939"/>
    <w:rsid w:val="00A72CC1"/>
    <w:rsid w:val="00A81B42"/>
    <w:rsid w:val="00A84F93"/>
    <w:rsid w:val="00A94494"/>
    <w:rsid w:val="00AB1E76"/>
    <w:rsid w:val="00AB4EB6"/>
    <w:rsid w:val="00AE0CD7"/>
    <w:rsid w:val="00AF1887"/>
    <w:rsid w:val="00AF2F2F"/>
    <w:rsid w:val="00AF4923"/>
    <w:rsid w:val="00AF72CA"/>
    <w:rsid w:val="00B05E29"/>
    <w:rsid w:val="00B10C62"/>
    <w:rsid w:val="00B24865"/>
    <w:rsid w:val="00B37493"/>
    <w:rsid w:val="00B460AA"/>
    <w:rsid w:val="00B47AB1"/>
    <w:rsid w:val="00B66050"/>
    <w:rsid w:val="00B751C5"/>
    <w:rsid w:val="00B914DB"/>
    <w:rsid w:val="00B9511A"/>
    <w:rsid w:val="00B97F6E"/>
    <w:rsid w:val="00BA648B"/>
    <w:rsid w:val="00BC2424"/>
    <w:rsid w:val="00BC5195"/>
    <w:rsid w:val="00BD12C7"/>
    <w:rsid w:val="00BE4BF2"/>
    <w:rsid w:val="00BF09A4"/>
    <w:rsid w:val="00BF0D9E"/>
    <w:rsid w:val="00BF1821"/>
    <w:rsid w:val="00C00974"/>
    <w:rsid w:val="00C06E9A"/>
    <w:rsid w:val="00C0786C"/>
    <w:rsid w:val="00C20B2A"/>
    <w:rsid w:val="00C267E7"/>
    <w:rsid w:val="00C30145"/>
    <w:rsid w:val="00C60C95"/>
    <w:rsid w:val="00C76600"/>
    <w:rsid w:val="00C84764"/>
    <w:rsid w:val="00C8509A"/>
    <w:rsid w:val="00C91C75"/>
    <w:rsid w:val="00C96669"/>
    <w:rsid w:val="00CA1E15"/>
    <w:rsid w:val="00CB2222"/>
    <w:rsid w:val="00CC445E"/>
    <w:rsid w:val="00CD6749"/>
    <w:rsid w:val="00CD73B0"/>
    <w:rsid w:val="00CD7537"/>
    <w:rsid w:val="00CE02AA"/>
    <w:rsid w:val="00CF7448"/>
    <w:rsid w:val="00D5434E"/>
    <w:rsid w:val="00D560C1"/>
    <w:rsid w:val="00D60757"/>
    <w:rsid w:val="00D7134A"/>
    <w:rsid w:val="00D71D08"/>
    <w:rsid w:val="00D76D24"/>
    <w:rsid w:val="00D942EB"/>
    <w:rsid w:val="00DA60C8"/>
    <w:rsid w:val="00DB6E53"/>
    <w:rsid w:val="00DC1757"/>
    <w:rsid w:val="00DC1AF3"/>
    <w:rsid w:val="00DC5559"/>
    <w:rsid w:val="00DD702D"/>
    <w:rsid w:val="00DD741B"/>
    <w:rsid w:val="00DE053D"/>
    <w:rsid w:val="00DF05DF"/>
    <w:rsid w:val="00DF3C80"/>
    <w:rsid w:val="00E4100F"/>
    <w:rsid w:val="00E438CE"/>
    <w:rsid w:val="00E47FE0"/>
    <w:rsid w:val="00E83341"/>
    <w:rsid w:val="00E854B3"/>
    <w:rsid w:val="00E942D0"/>
    <w:rsid w:val="00EB5AE5"/>
    <w:rsid w:val="00EC3417"/>
    <w:rsid w:val="00EC78E4"/>
    <w:rsid w:val="00ED21D1"/>
    <w:rsid w:val="00EF4B99"/>
    <w:rsid w:val="00F00AF1"/>
    <w:rsid w:val="00F02CD4"/>
    <w:rsid w:val="00F2135E"/>
    <w:rsid w:val="00F269B7"/>
    <w:rsid w:val="00F543EF"/>
    <w:rsid w:val="00F7556F"/>
    <w:rsid w:val="00FA7DB1"/>
    <w:rsid w:val="00FC35F2"/>
    <w:rsid w:val="00FC72FB"/>
    <w:rsid w:val="00FD3AF2"/>
    <w:rsid w:val="00F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55961-96C7-4394-9F06-1F66F368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076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2F4F62"/>
    <w:rPr>
      <w:b/>
      <w:bCs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F62"/>
    <w:pPr>
      <w:widowControl w:val="0"/>
      <w:shd w:val="clear" w:color="auto" w:fill="FFFFFF"/>
      <w:spacing w:after="240" w:line="422" w:lineRule="exac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styleId="a3">
    <w:name w:val="Normal (Web)"/>
    <w:aliases w:val="Обычный (Web)"/>
    <w:basedOn w:val="a"/>
    <w:uiPriority w:val="99"/>
    <w:unhideWhenUsed/>
    <w:rsid w:val="002F4F62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 Знак Знак Знак"/>
    <w:basedOn w:val="a"/>
    <w:rsid w:val="004842AD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67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6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D67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6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paragraphnycys">
    <w:name w:val="paragraph_paragraph__nycys"/>
    <w:basedOn w:val="a"/>
    <w:rsid w:val="005B0BFC"/>
    <w:pPr>
      <w:spacing w:before="100" w:beforeAutospacing="1" w:after="100" w:afterAutospacing="1"/>
    </w:pPr>
    <w:rPr>
      <w:sz w:val="24"/>
      <w:szCs w:val="24"/>
    </w:rPr>
  </w:style>
  <w:style w:type="character" w:customStyle="1" w:styleId="tasspkgtext-oehbr">
    <w:name w:val="tass_pkg_text-oehbr"/>
    <w:basedOn w:val="a0"/>
    <w:rsid w:val="005B0BFC"/>
  </w:style>
  <w:style w:type="character" w:customStyle="1" w:styleId="a9">
    <w:name w:val="Основной текст_"/>
    <w:basedOn w:val="a0"/>
    <w:link w:val="1"/>
    <w:rsid w:val="005B0BFC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">
    <w:name w:val="Основной текст1"/>
    <w:basedOn w:val="a"/>
    <w:link w:val="a9"/>
    <w:rsid w:val="005B0BFC"/>
    <w:pPr>
      <w:widowControl w:val="0"/>
      <w:shd w:val="clear" w:color="auto" w:fill="FFFFFF"/>
      <w:spacing w:before="600" w:line="317" w:lineRule="exact"/>
      <w:jc w:val="both"/>
    </w:pPr>
    <w:rPr>
      <w:spacing w:val="4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5B0BF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076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mrcssattr">
    <w:name w:val="p1_mr_css_attr"/>
    <w:basedOn w:val="a"/>
    <w:rsid w:val="00A016FF"/>
    <w:pPr>
      <w:spacing w:before="100" w:beforeAutospacing="1" w:after="100" w:afterAutospacing="1"/>
    </w:pPr>
    <w:rPr>
      <w:sz w:val="24"/>
      <w:szCs w:val="24"/>
    </w:rPr>
  </w:style>
  <w:style w:type="character" w:customStyle="1" w:styleId="s1mrcssattr">
    <w:name w:val="s1_mr_css_attr"/>
    <w:basedOn w:val="a0"/>
    <w:rsid w:val="00A016FF"/>
  </w:style>
  <w:style w:type="character" w:styleId="ab">
    <w:name w:val="Hyperlink"/>
    <w:unhideWhenUsed/>
    <w:rsid w:val="00E942D0"/>
    <w:rPr>
      <w:color w:val="0000FF"/>
      <w:u w:val="single"/>
    </w:rPr>
  </w:style>
  <w:style w:type="table" w:styleId="ac">
    <w:name w:val="Table Grid"/>
    <w:basedOn w:val="a1"/>
    <w:uiPriority w:val="39"/>
    <w:rsid w:val="00311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F09A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09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chemeClr val="tx2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r>
              <a:rPr lang="ru-RU" sz="1300">
                <a:latin typeface="Arial Black" panose="020B0A04020102020204" pitchFamily="34" charset="0"/>
              </a:rPr>
              <a:t>Динамика активности обращений по социальному статусу за 2024-2025 гг.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2"/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Работающие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12700">
              <a:solidFill>
                <a:schemeClr val="accent1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/>
            </a:scene3d>
            <a:sp3d contourW="12700">
              <a:bevelB w="63500" h="63500"/>
              <a:contourClr>
                <a:schemeClr val="accent1"/>
              </a:contourClr>
            </a:sp3d>
          </c:spPr>
          <c:invertIfNegative val="0"/>
          <c:dLbls>
            <c:dLbl>
              <c:idx val="0"/>
              <c:layout>
                <c:manualLayout>
                  <c:x val="1.4861995753715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0EB-47A6-AD5C-D23FA69D7B2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2025 год</c:v>
                </c:pt>
                <c:pt idx="1">
                  <c:v>2024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EB-47A6-AD5C-D23FA69D7B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Пенсионеры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27388535031847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0EB-47A6-AD5C-D23FA69D7B2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738853503184714E-2"/>
                  <c:y val="-3.807501879034016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0EB-47A6-AD5C-D23FA69D7B2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2025 год</c:v>
                </c:pt>
                <c:pt idx="1">
                  <c:v>2024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0EB-47A6-AD5C-D23FA69D7B2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Безработные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4861995753715459E-2"/>
                  <c:y val="-8.30737279335410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0EB-47A6-AD5C-D23FA69D7B2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861995753715499E-2"/>
                  <c:y val="-7.61500375806803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0EB-47A6-AD5C-D23FA69D7B2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00B05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2025 год</c:v>
                </c:pt>
                <c:pt idx="1">
                  <c:v>2024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0EB-47A6-AD5C-D23FA69D7B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7"/>
        <c:shape val="box"/>
        <c:axId val="262563760"/>
        <c:axId val="262564320"/>
        <c:axId val="0"/>
      </c:bar3DChart>
      <c:catAx>
        <c:axId val="26256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564320"/>
        <c:crosses val="autoZero"/>
        <c:auto val="1"/>
        <c:lblAlgn val="ctr"/>
        <c:lblOffset val="100"/>
        <c:noMultiLvlLbl val="0"/>
      </c:catAx>
      <c:valAx>
        <c:axId val="26256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2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262563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Тематика обращений граждан, поступивших в ОП КБР в 2025 году</a:t>
            </a:r>
          </a:p>
        </c:rich>
      </c:tx>
      <c:layout>
        <c:manualLayout>
          <c:xMode val="edge"/>
          <c:yMode val="edge"/>
          <c:x val="0.15291134982494808"/>
          <c:y val="3.5714392843751677E-2"/>
        </c:manualLayout>
      </c:layout>
      <c:overlay val="0"/>
      <c:spPr>
        <a:noFill/>
        <a:ln>
          <a:noFill/>
        </a:ln>
        <a:effectLst>
          <a:innerShdw blurRad="63500" dist="50800" dir="13500000">
            <a:prstClr val="black">
              <a:alpha val="50000"/>
            </a:prstClr>
          </a:innerShdw>
        </a:effectLst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848238482384824E-2"/>
          <c:y val="0.21633699633699632"/>
          <c:w val="0.97615176151761518"/>
          <c:h val="0.496970955553632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E8F-46CF-9D97-A8AB9858F0C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E8F-46CF-9D97-A8AB9858F0C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E8F-46CF-9D97-A8AB9858F0C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E8F-46CF-9D97-A8AB9858F0C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E8F-46CF-9D97-A8AB9858F0C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E8F-46CF-9D97-A8AB9858F0C6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E8F-46CF-9D97-A8AB9858F0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1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Лист1!$A$2:$A$8</c:f>
              <c:strCache>
                <c:ptCount val="7"/>
                <c:pt idx="0">
                  <c:v>Вопросы жилья и ЖКХ</c:v>
                </c:pt>
                <c:pt idx="1">
                  <c:v>Вопросы пенсионного обеспечения</c:v>
                </c:pt>
                <c:pt idx="2">
                  <c:v>Вопросы по земле</c:v>
                </c:pt>
                <c:pt idx="3">
                  <c:v>Вопросы здравоохранения</c:v>
                </c:pt>
                <c:pt idx="4">
                  <c:v>Вопросы законодательства</c:v>
                </c:pt>
                <c:pt idx="5">
                  <c:v>Вопросы труда и заработной платы</c:v>
                </c:pt>
                <c:pt idx="6">
                  <c:v>Другие вопросы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DE8F-46CF-9D97-A8AB9858F0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DE8F-46CF-9D97-A8AB9858F0C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DE8F-46CF-9D97-A8AB9858F0C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DE8F-46CF-9D97-A8AB9858F0C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DE8F-46CF-9D97-A8AB9858F0C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DE8F-46CF-9D97-A8AB9858F0C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DE8F-46CF-9D97-A8AB9858F0C6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C-DE8F-46CF-9D97-A8AB9858F0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Вопросы жилья и ЖКХ</c:v>
                </c:pt>
                <c:pt idx="1">
                  <c:v>Вопросы пенсионного обеспечения</c:v>
                </c:pt>
                <c:pt idx="2">
                  <c:v>Вопросы по земле</c:v>
                </c:pt>
                <c:pt idx="3">
                  <c:v>Вопросы здравоохранения</c:v>
                </c:pt>
                <c:pt idx="4">
                  <c:v>Вопросы законодательства</c:v>
                </c:pt>
                <c:pt idx="5">
                  <c:v>Вопросы труда и заработной платы</c:v>
                </c:pt>
                <c:pt idx="6">
                  <c:v>Другие вопросы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0.4</c:v>
                </c:pt>
                <c:pt idx="1">
                  <c:v>0.04</c:v>
                </c:pt>
                <c:pt idx="2">
                  <c:v>0.04</c:v>
                </c:pt>
                <c:pt idx="3">
                  <c:v>0.08</c:v>
                </c:pt>
                <c:pt idx="4">
                  <c:v>0.04</c:v>
                </c:pt>
                <c:pt idx="5">
                  <c:v>0.04</c:v>
                </c:pt>
                <c:pt idx="6">
                  <c:v>0.36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D-DE8F-46CF-9D97-A8AB9858F0C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3BA39-7F47-498A-9EF9-408F86D3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Emma320</dc:creator>
  <cp:keywords/>
  <dc:description/>
  <cp:lastModifiedBy>user77</cp:lastModifiedBy>
  <cp:revision>3</cp:revision>
  <cp:lastPrinted>2025-12-10T14:42:00Z</cp:lastPrinted>
  <dcterms:created xsi:type="dcterms:W3CDTF">2025-12-11T12:03:00Z</dcterms:created>
  <dcterms:modified xsi:type="dcterms:W3CDTF">2026-04-01T11:26:00Z</dcterms:modified>
</cp:coreProperties>
</file>