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AC" w:rsidRPr="00AE2767" w:rsidRDefault="00F411AC" w:rsidP="00F411A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2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Заключение </w:t>
      </w:r>
    </w:p>
    <w:p w:rsidR="00F411AC" w:rsidRDefault="00F411AC" w:rsidP="00F411A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2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Общественной палаты Кабардино-Балкарской Республики на проект закона Кабардино-Балкарской Республики "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внесении изменений в Закон Кабардино-Балкарской Республики </w:t>
      </w:r>
    </w:p>
    <w:p w:rsidR="00F411AC" w:rsidRDefault="00F411AC" w:rsidP="00F411A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2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"О защите прав и законных интересов граждан – участников долевого строительства многоквартирных домов на территории </w:t>
      </w:r>
    </w:p>
    <w:p w:rsidR="00F411AC" w:rsidRPr="00AE2767" w:rsidRDefault="00F411AC" w:rsidP="00F411A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2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Кабардино-Балкарской Республики"</w:t>
      </w:r>
    </w:p>
    <w:p w:rsidR="00F411AC" w:rsidRPr="00AE2767" w:rsidRDefault="00F411AC" w:rsidP="00F411A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11AC" w:rsidRPr="00AE2767" w:rsidRDefault="00F411AC" w:rsidP="00F411A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сентября 2022 г. </w:t>
      </w: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г. Нальчик</w:t>
      </w:r>
    </w:p>
    <w:p w:rsidR="00F411AC" w:rsidRPr="00AE2767" w:rsidRDefault="00F411AC" w:rsidP="00F41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пояснительной записке, законопроект разработан в целях законодательного установления порядка передачи нежилых помещений в собственность гражданам, имеющим денежные требования в рамках дела о банкротстве застройщика, которые возникли из договоров участия в долевом строительстве многоквартирных домов, объектом строительства которых являются нежилые помещения, за исключением граждан, которые приобрели право требования после признания застройщика банкротом и открытия конкурсного производства. Для этого Закон Кабардино-Балкарской Республики от 17 ноября 2011 г. № 96-РЗ "О защите прав и законных интересов граждан – участников долевого строительства многоквартирных домов на территории Кабардино-Балкарской Республики" предлагается дополнить новой статьей 7-1. В собственность гражданам предполагается передавать нежилые помещения, включенные в перечень имущества республиканской казны, свободные от прав третьих лиц, сформированный органом исполнительной власти Кабардино-Балкарской Республики по управлению республиканским имуществом и опубликованный на его официальном сайте в информационно-телекоммуникационной сети "Интернет". </w:t>
      </w:r>
    </w:p>
    <w:p w:rsidR="00F411AC" w:rsidRPr="00AE2767" w:rsidRDefault="00F411AC" w:rsidP="00F4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Законопроектом предусматриваются условия получения в собственность нежилого помещения. Одним из условий, согласно подпункту 4 части 5 предлагаемой новой статьи 7-1 является уступка гражданином права требования к застройщику, признанному банкротом. Но законопроект не регулирует отношения, связанные с заключением соглашения об уступке требования, в частности: когда заключается такое соглашение, является ли это соглашение самостоятельным договором или частью договора о передаче нежилого помещения в собственность, какой стороной совершаются действия по государственной регистрации, так как в соответствии с п. 2 ст. 389 Гражданского кодекса РФ и ч. 3 ст. 4 Федерального закона от 30 декабря 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соглашение об уступке требования по сделке, требующей государственной регистрации, должно быть зарегистрировано в порядке, установленном для регистрации этой сделки. </w:t>
      </w:r>
    </w:p>
    <w:p w:rsidR="00F411AC" w:rsidRPr="00AE2767" w:rsidRDefault="00F411AC" w:rsidP="00F4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7">
        <w:rPr>
          <w:rFonts w:ascii="Times New Roman" w:hAnsi="Times New Roman" w:cs="Times New Roman"/>
          <w:sz w:val="28"/>
          <w:szCs w:val="28"/>
        </w:rPr>
        <w:t xml:space="preserve">Часть 16 предлагаемой статьи 7-1 предусматривает заключение договора о передаче нежилого помещения в собственность граждан в результате </w:t>
      </w:r>
      <w:r w:rsidRPr="00AE2767">
        <w:rPr>
          <w:rFonts w:ascii="Times New Roman" w:hAnsi="Times New Roman" w:cs="Times New Roman"/>
          <w:sz w:val="28"/>
          <w:szCs w:val="28"/>
        </w:rPr>
        <w:lastRenderedPageBreak/>
        <w:t>уступки ими республике права требования к застройщику, признанному банкротом, в срок не позднее шести месяцев с даты, указанной в отчете об оценке рыночной стоимости нежилого помещения. Непонятно, чем объясняется такой длительный срок заключения договора о передаче нежилого помещения в собственность. Представляется целесообразным сократить срок заключения указанного договора, а также сократить максимальные срок принятия решения о соблюдении условий, установленных для получения в собственность нежилого помещения, который составляет 30 календарных детей, срок проведения оценки рыночной стоимости нежилого помещения, который составляет 45 дней (части 7 и 8 ст. 7-1).</w:t>
      </w:r>
    </w:p>
    <w:p w:rsidR="00F411AC" w:rsidRPr="00AE2767" w:rsidRDefault="00F411AC" w:rsidP="00F4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7">
        <w:rPr>
          <w:rFonts w:ascii="Times New Roman" w:hAnsi="Times New Roman" w:cs="Times New Roman"/>
          <w:sz w:val="28"/>
          <w:szCs w:val="28"/>
        </w:rPr>
        <w:t xml:space="preserve">В части 1 предлагаемой статьи 7-1 слово </w:t>
      </w: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AE2767">
        <w:rPr>
          <w:rFonts w:ascii="Times New Roman" w:hAnsi="Times New Roman" w:cs="Times New Roman"/>
          <w:sz w:val="28"/>
          <w:szCs w:val="28"/>
        </w:rPr>
        <w:t>области</w:t>
      </w: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AE2767">
        <w:rPr>
          <w:rFonts w:ascii="Times New Roman" w:hAnsi="Times New Roman" w:cs="Times New Roman"/>
          <w:sz w:val="28"/>
          <w:szCs w:val="28"/>
        </w:rPr>
        <w:t xml:space="preserve"> следует заменить словом </w:t>
      </w: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AE2767">
        <w:rPr>
          <w:rFonts w:ascii="Times New Roman" w:hAnsi="Times New Roman" w:cs="Times New Roman"/>
          <w:sz w:val="28"/>
          <w:szCs w:val="28"/>
        </w:rPr>
        <w:t>республики</w:t>
      </w: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AE2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1AC" w:rsidRPr="00AE2767" w:rsidRDefault="00F411AC" w:rsidP="00F41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законопроекта с учетом поступивших замечаний и предложений является дополнительной гарантией защиты прав и законных интересов граждан, которые возникли из договоров участия в долевом строительстве многоквартирных домов, объектом строительства которых являются нежилые помещения. </w:t>
      </w:r>
    </w:p>
    <w:p w:rsidR="00F411AC" w:rsidRPr="00AE2767" w:rsidRDefault="00F411AC" w:rsidP="00F411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5B8C" w:rsidRDefault="00E55B8C">
      <w:bookmarkStart w:id="0" w:name="_GoBack"/>
      <w:bookmarkEnd w:id="0"/>
    </w:p>
    <w:sectPr w:rsidR="00E55B8C" w:rsidSect="00F411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AC" w:rsidRDefault="00F411AC" w:rsidP="00F411AC">
      <w:pPr>
        <w:spacing w:after="0" w:line="240" w:lineRule="auto"/>
      </w:pPr>
      <w:r>
        <w:separator/>
      </w:r>
    </w:p>
  </w:endnote>
  <w:endnote w:type="continuationSeparator" w:id="0">
    <w:p w:rsidR="00F411AC" w:rsidRDefault="00F411AC" w:rsidP="00F4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AC" w:rsidRDefault="00F411AC" w:rsidP="00F411AC">
      <w:pPr>
        <w:spacing w:after="0" w:line="240" w:lineRule="auto"/>
      </w:pPr>
      <w:r>
        <w:separator/>
      </w:r>
    </w:p>
  </w:footnote>
  <w:footnote w:type="continuationSeparator" w:id="0">
    <w:p w:rsidR="00F411AC" w:rsidRDefault="00F411AC" w:rsidP="00F4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829563"/>
      <w:docPartObj>
        <w:docPartGallery w:val="Page Numbers (Top of Page)"/>
        <w:docPartUnique/>
      </w:docPartObj>
    </w:sdtPr>
    <w:sdtContent>
      <w:p w:rsidR="00F411AC" w:rsidRDefault="00F411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11AC" w:rsidRDefault="00F411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AC"/>
    <w:rsid w:val="00E55B8C"/>
    <w:rsid w:val="00F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5454-FBD3-4BB3-A69C-EB36FEC3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1AC"/>
  </w:style>
  <w:style w:type="paragraph" w:styleId="a5">
    <w:name w:val="footer"/>
    <w:basedOn w:val="a"/>
    <w:link w:val="a6"/>
    <w:uiPriority w:val="99"/>
    <w:unhideWhenUsed/>
    <w:rsid w:val="00F4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1</cp:revision>
  <dcterms:created xsi:type="dcterms:W3CDTF">2022-09-28T11:20:00Z</dcterms:created>
  <dcterms:modified xsi:type="dcterms:W3CDTF">2022-09-28T11:22:00Z</dcterms:modified>
</cp:coreProperties>
</file>