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95" w:rsidRPr="004F1C97" w:rsidRDefault="00D07A95" w:rsidP="00D07A95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1C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Заключение </w:t>
      </w:r>
    </w:p>
    <w:p w:rsidR="00D07A95" w:rsidRDefault="00D07A95" w:rsidP="00D07A95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1C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Общественной палаты Кабардино-Балкарской Республики </w:t>
      </w:r>
    </w:p>
    <w:p w:rsidR="00D07A95" w:rsidRDefault="00D07A95" w:rsidP="00D07A95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4F1C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Pr="004F1C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проекту федерального закона </w:t>
      </w:r>
      <w:r w:rsidRPr="004F1C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российском движении детей и молодежи «Большая перемена» </w:t>
      </w:r>
    </w:p>
    <w:p w:rsidR="00D07A95" w:rsidRDefault="00D07A95" w:rsidP="00D07A95">
      <w:pPr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7A95" w:rsidRPr="00D56F1A" w:rsidRDefault="00D07A95" w:rsidP="00D07A95">
      <w:pPr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31 мая</w:t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2022 г. </w:t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56F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о. Нальчик </w:t>
      </w:r>
    </w:p>
    <w:p w:rsidR="00D07A95" w:rsidRPr="009B1A7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Законопроектом предусматривается создание общественно-государственного общероссийского движения «Российско</w:t>
      </w:r>
      <w:r w:rsidR="00EF1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9B1A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движение детей и молодежи «Большая перемена» (далее – Движение).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 не предусматривает участие в Движении лиц, обучающихся по образовательным программам высшего и послевузовского профессионального образования. Согласно ст. 6 законопроекта совершеннолетние лица могут быть участниками движения только в качестве наставников. Указанные положения законопроекта не соответствуют наименованию Движения как Движения не только детей, но и молодежи. Согласно ч. 5 ст. 5 законопроекта наставники выполняют функции вожатых и добровольцев. Содержание указанных функций законопроект не определяет. </w:t>
      </w:r>
    </w:p>
    <w:p w:rsidR="00D07A95" w:rsidRPr="00CF1CD2" w:rsidRDefault="00D07A95" w:rsidP="00D07A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1A7E">
        <w:rPr>
          <w:iCs/>
          <w:sz w:val="28"/>
          <w:szCs w:val="28"/>
          <w:shd w:val="clear" w:color="auto" w:fill="FFFFFF"/>
        </w:rPr>
        <w:t xml:space="preserve">В России уже имеются </w:t>
      </w:r>
      <w:r w:rsidRPr="009B1A7E">
        <w:rPr>
          <w:sz w:val="28"/>
          <w:szCs w:val="28"/>
        </w:rPr>
        <w:t xml:space="preserve">общероссийская общественно-государственная детско-юношеская организация «Российское движение школьников», </w:t>
      </w:r>
      <w:r w:rsidRPr="009B1A7E">
        <w:rPr>
          <w:sz w:val="28"/>
          <w:szCs w:val="28"/>
          <w:shd w:val="clear" w:color="auto" w:fill="FFFFFF"/>
        </w:rPr>
        <w:t>Всероссийское детско-</w:t>
      </w:r>
      <w:r w:rsidRPr="00CF1CD2">
        <w:rPr>
          <w:sz w:val="28"/>
          <w:szCs w:val="28"/>
          <w:shd w:val="clear" w:color="auto" w:fill="FFFFFF"/>
        </w:rPr>
        <w:t xml:space="preserve">юношеское военно-патриотическое общественное движение </w:t>
      </w:r>
      <w:r w:rsidRPr="00CF1CD2">
        <w:rPr>
          <w:iCs/>
          <w:sz w:val="28"/>
          <w:szCs w:val="28"/>
          <w:shd w:val="clear" w:color="auto" w:fill="FFFFFF"/>
        </w:rPr>
        <w:t>«</w:t>
      </w:r>
      <w:proofErr w:type="spellStart"/>
      <w:r w:rsidRPr="00CF1CD2">
        <w:rPr>
          <w:iCs/>
          <w:sz w:val="28"/>
          <w:szCs w:val="28"/>
          <w:shd w:val="clear" w:color="auto" w:fill="FFFFFF"/>
        </w:rPr>
        <w:t>Юнармия</w:t>
      </w:r>
      <w:proofErr w:type="spellEnd"/>
      <w:r w:rsidRPr="00CF1CD2">
        <w:rPr>
          <w:iCs/>
          <w:sz w:val="28"/>
          <w:szCs w:val="28"/>
          <w:shd w:val="clear" w:color="auto" w:fill="FFFFFF"/>
        </w:rPr>
        <w:t>» и другие</w:t>
      </w:r>
      <w:r w:rsidRPr="00CF1CD2">
        <w:rPr>
          <w:sz w:val="28"/>
          <w:szCs w:val="28"/>
          <w:shd w:val="clear" w:color="auto" w:fill="FFFFFF"/>
        </w:rPr>
        <w:t xml:space="preserve"> </w:t>
      </w:r>
      <w:r w:rsidRPr="00CF1CD2">
        <w:rPr>
          <w:iCs/>
          <w:sz w:val="28"/>
          <w:szCs w:val="28"/>
          <w:shd w:val="clear" w:color="auto" w:fill="FFFFFF"/>
        </w:rPr>
        <w:t>детские и молодежные организации</w:t>
      </w:r>
      <w:r w:rsidRPr="00CF1CD2">
        <w:rPr>
          <w:sz w:val="28"/>
          <w:szCs w:val="28"/>
          <w:shd w:val="clear" w:color="auto" w:fill="FFFFFF"/>
        </w:rPr>
        <w:t xml:space="preserve">. Цели их создания и направления деятельности и предлагаемого законопроектом движения по сути одни и те же. </w:t>
      </w:r>
      <w:r w:rsidRPr="00CF1CD2">
        <w:rPr>
          <w:sz w:val="28"/>
          <w:szCs w:val="28"/>
        </w:rPr>
        <w:t xml:space="preserve">Из содержания законопроекта и пояснительной записки к нему не усматривается необходимость создания нового детского движения вместо преобразования и совершенствования деятельности уже созданных, в том числе и на положениях, предусматриваемых законопроектом. </w:t>
      </w:r>
      <w:r>
        <w:rPr>
          <w:sz w:val="28"/>
          <w:szCs w:val="28"/>
        </w:rPr>
        <w:t xml:space="preserve">Непонятны перспективы их деятельности в случае принятие законопроекта. </w:t>
      </w:r>
      <w:r w:rsidR="00EF1F86" w:rsidRPr="00CF1CD2">
        <w:rPr>
          <w:sz w:val="28"/>
          <w:szCs w:val="28"/>
          <w:shd w:val="clear" w:color="auto" w:fill="FFFFFF"/>
        </w:rPr>
        <w:t xml:space="preserve">Представляется нецелесообразным наличие нескольких конкурирующих </w:t>
      </w:r>
      <w:r w:rsidR="00EF1F86" w:rsidRPr="00CF1CD2">
        <w:rPr>
          <w:sz w:val="28"/>
          <w:szCs w:val="28"/>
        </w:rPr>
        <w:t>общероссийских общественно-государственных детских организации.</w:t>
      </w:r>
      <w:bookmarkStart w:id="0" w:name="_GoBack"/>
      <w:bookmarkEnd w:id="0"/>
    </w:p>
    <w:p w:rsidR="00D07A95" w:rsidRPr="00CF1CD2" w:rsidRDefault="00D07A95" w:rsidP="00D07A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1CD2">
        <w:rPr>
          <w:sz w:val="28"/>
          <w:szCs w:val="28"/>
        </w:rPr>
        <w:t xml:space="preserve">Вызывает дискуссии предлагаемое наименование Движения. Высказывалось мнение, заслуживающее внимания, вернуться к </w:t>
      </w:r>
      <w:r w:rsidRPr="00CF1CD2">
        <w:rPr>
          <w:sz w:val="28"/>
          <w:szCs w:val="28"/>
          <w:shd w:val="clear" w:color="auto" w:fill="FFFFFF"/>
        </w:rPr>
        <w:t xml:space="preserve">наименованию организации как пионерской, поскольку слово «пионер», </w:t>
      </w:r>
      <w:proofErr w:type="gramStart"/>
      <w:r w:rsidRPr="00CF1CD2">
        <w:rPr>
          <w:sz w:val="28"/>
          <w:szCs w:val="28"/>
          <w:shd w:val="clear" w:color="auto" w:fill="FFFFFF"/>
        </w:rPr>
        <w:t>означающее</w:t>
      </w:r>
      <w:proofErr w:type="gramEnd"/>
      <w:r w:rsidRPr="00CF1CD2">
        <w:rPr>
          <w:sz w:val="28"/>
          <w:szCs w:val="28"/>
          <w:shd w:val="clear" w:color="auto" w:fill="FFFFFF"/>
        </w:rPr>
        <w:t xml:space="preserve"> «первопроходец», не несет политического подтекста. </w:t>
      </w:r>
    </w:p>
    <w:p w:rsidR="00D07A95" w:rsidRPr="006902B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образованием первичных отделений, формируемых в образовательных организациях начального общего, основного общего, среднего общего образования среднего профессионального образования предусматривается возможность образования первичных отделений в организациях, образующих инфраструктуру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политики, организациях культуры и спорта, иных организациях, осуществляющих работу с детьми и молодежью (п. «в» ч. 1 ст. 10 законопроекта), что представляется излишним. Если обучающийся может быть участником первичного отделения, созданного в образовательных организациях, нет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смысла и необходимости в формировании первичных отделений в других указанных организациях. Следует отметить, что ст. 11 законопроекта не </w:t>
      </w:r>
      <w:r w:rsidRPr="006902BE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 возможность образования первичных отделений Движения в организациях, образующих инфраструктуру молодежной политики, в организациях, осуществляющих работу с детьми и молодежью.</w:t>
      </w:r>
    </w:p>
    <w:p w:rsidR="00D07A95" w:rsidRPr="006902B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7 исключает возможность быть участником Движения для политических партий, религиозных организаций, профессиональных союзов, территориальных общественных самоуправлений, казачьих обществ, внесенных в государственный реестр, общин коренных малочисленных народов России, общественно полезные фонды и автономных некоммерческих организаций. При этом пояснительная записка к законопроекту не объясняет причины такого запрета для указанных организаций, в частности, непонятно, почему казачьи общества, внесенные в реестр, не могут быть участниками Движения, а не внесенные, получается, могут. Редакция статьи также требует редакционного уточнения, поскольку не все указанные организации являются общественными объединениями. </w:t>
      </w:r>
    </w:p>
    <w:p w:rsidR="00D07A95" w:rsidRPr="006902BE" w:rsidRDefault="00D07A95" w:rsidP="00D07A95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69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ч. 1 ст. 8 законопроекта все участники Движения имеют право на равные условия для всестороннего развития и самореализации, для выявления и развития их талантов. Данное положение неприменимо к таким участникам как наставники и коллективные участники. В части 2 ст. 8 законопроекта устанавливаются права участников и наставников. Исходя из предлагаемой редакции абзаца первого, полагаем, что речь идет о всех участников Движения. Наставники согласно ст. 6 являются участниками Движения и нет необходимости отдельно на них указывать. Часть 3 ст. 8 устанавливает права коллективных участников Движения. Неясно, означает ли это, что коллективные участники не имеют прав, установленных ч. 2 статьи. </w:t>
      </w:r>
    </w:p>
    <w:p w:rsidR="00D07A95" w:rsidRPr="006902B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902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Пункт 4 ч. 3 ст. 8 законопроекта не предусматривает возможность финансирования коллективными участниками местных отделений и первичных отделений Движения. Причины в пояснительной записке не раскрываются. </w:t>
      </w:r>
    </w:p>
    <w:p w:rsidR="00D07A95" w:rsidRPr="009B1A7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2BE">
        <w:rPr>
          <w:rFonts w:ascii="Times New Roman" w:hAnsi="Times New Roman" w:cs="Times New Roman"/>
          <w:sz w:val="28"/>
          <w:szCs w:val="28"/>
        </w:rPr>
        <w:t xml:space="preserve">Согласно ст. 9 Федерального закона «Об общественных объединениях» высшим руководящим органом общественного движения является съезд (конференция) или общее собрание. Постоянно </w:t>
      </w:r>
      <w:r w:rsidRPr="009B1A7E">
        <w:rPr>
          <w:rFonts w:ascii="Times New Roman" w:hAnsi="Times New Roman" w:cs="Times New Roman"/>
          <w:sz w:val="28"/>
          <w:szCs w:val="28"/>
        </w:rPr>
        <w:t xml:space="preserve">действующим руководящим органом общественного движения является выборный коллегиальный орган, подотчетный съезду (конференции) или общему собранию.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13 законопроекта не определяет руководящий орган региональных отделений – ни </w:t>
      </w:r>
      <w:r w:rsidRPr="009B1A7E">
        <w:rPr>
          <w:rFonts w:ascii="Times New Roman" w:hAnsi="Times New Roman" w:cs="Times New Roman"/>
          <w:sz w:val="28"/>
          <w:szCs w:val="28"/>
        </w:rPr>
        <w:t xml:space="preserve">высший руководящий орган,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постоянно действующий. Съезд регионального отделения определяется как высший совещательный орган, а совет регионального отделения как коллегиальный исполнительный орган. </w:t>
      </w:r>
    </w:p>
    <w:p w:rsidR="00D07A95" w:rsidRPr="009B1A7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Региональные отделения могут быть юридическими лицами, но законопроект не определяет учредительные документы, на основании которых они могут быть зарегистрированы как юридические лица (ч. 2 ст. 13 законопроекта). При их регистрации в качестве юридического лица согласно ст. 9 </w:t>
      </w:r>
      <w:r w:rsidRPr="009B1A7E">
        <w:rPr>
          <w:rFonts w:ascii="Times New Roman" w:hAnsi="Times New Roman" w:cs="Times New Roman"/>
          <w:sz w:val="28"/>
          <w:szCs w:val="28"/>
        </w:rPr>
        <w:t xml:space="preserve">Федерального закона «Об общественных объединениях»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действующий руководящий орган общественного движения осуществляет права юридического лица от имени общественного движения и исполняет его обязанности в соответствии с уставом. Непонятно, при отсутствии руководящего органа регионального отделения как будут осуществляться его права как юридического лица. Для местных отделений законопроектом возможность регистрироваться в качестве юридического лица не предусматривается (ст. 12). Причины в пояснительной записке не поясняются.</w:t>
      </w:r>
    </w:p>
    <w:p w:rsidR="00D07A95" w:rsidRPr="009B1A7E" w:rsidRDefault="00D07A95" w:rsidP="00D0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Законопроект не определяет п</w:t>
      </w:r>
      <w:r w:rsidRPr="009B1A7E">
        <w:rPr>
          <w:rFonts w:ascii="Times New Roman" w:hAnsi="Times New Roman" w:cs="Times New Roman"/>
          <w:sz w:val="28"/>
          <w:szCs w:val="28"/>
        </w:rPr>
        <w:t>остоянно действующий руководящий орган Движения.</w:t>
      </w:r>
      <w:r w:rsidRPr="009B1A7E">
        <w:rPr>
          <w:sz w:val="28"/>
          <w:szCs w:val="28"/>
        </w:rPr>
        <w:t xml:space="preserve"> </w:t>
      </w:r>
      <w:r w:rsidRPr="009B1A7E">
        <w:rPr>
          <w:rFonts w:ascii="Times New Roman" w:hAnsi="Times New Roman" w:cs="Times New Roman"/>
          <w:sz w:val="28"/>
          <w:szCs w:val="28"/>
        </w:rPr>
        <w:t xml:space="preserve">Наблюдательный совет Движения определен в качестве наблюдательного органа (ст. 15 законопроекта). В законодательстве не применяется такой термин как наблюдательный орган. В зависимости от разных организационно-правовых форм юридических лиц наблюдательный совет является руководящим органом, контролирующим органом, попечительским советом. </w:t>
      </w:r>
    </w:p>
    <w:p w:rsidR="00D07A95" w:rsidRPr="009B1A7E" w:rsidRDefault="00D07A95" w:rsidP="00D07A95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A7E">
        <w:rPr>
          <w:sz w:val="28"/>
          <w:szCs w:val="28"/>
          <w:shd w:val="clear" w:color="auto" w:fill="FFFFFF"/>
        </w:rPr>
        <w:t xml:space="preserve">Законопроект не указывает государство в качестве одного из учредителей общественно-государственного движения. Согласно ст. 21 Движение формируется на учредительном съезде, который созывается по инициативе одной или нескольких некоммерческих организаций, цели деятельности которых соответствуют целям, указанным в ч. 1 ст. 2 законопроекта. </w:t>
      </w:r>
      <w:r w:rsidRPr="009B1A7E">
        <w:rPr>
          <w:rStyle w:val="s10"/>
          <w:bCs/>
          <w:sz w:val="28"/>
          <w:szCs w:val="28"/>
        </w:rPr>
        <w:t>Статья 51 Федерального закона «</w:t>
      </w:r>
      <w:r w:rsidRPr="009B1A7E">
        <w:rPr>
          <w:bCs/>
          <w:sz w:val="28"/>
          <w:szCs w:val="28"/>
        </w:rPr>
        <w:t>Об общественных объединениях» устанавливает, что</w:t>
      </w:r>
      <w:r w:rsidRPr="009B1A7E">
        <w:rPr>
          <w:b/>
          <w:bCs/>
          <w:sz w:val="28"/>
          <w:szCs w:val="28"/>
        </w:rPr>
        <w:t xml:space="preserve"> </w:t>
      </w:r>
      <w:r w:rsidRPr="009B1A7E">
        <w:rPr>
          <w:sz w:val="28"/>
          <w:szCs w:val="28"/>
        </w:rPr>
        <w:t xml:space="preserve">до принятия федеральных законов о государственно-общественных и общественно - 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власти. </w:t>
      </w:r>
    </w:p>
    <w:p w:rsidR="00D07A95" w:rsidRPr="009B1A7E" w:rsidRDefault="00D07A95" w:rsidP="00D07A95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B1A7E">
        <w:rPr>
          <w:sz w:val="28"/>
          <w:szCs w:val="28"/>
        </w:rPr>
        <w:t>Законопроектом н</w:t>
      </w:r>
      <w:r w:rsidRPr="009B1A7E">
        <w:rPr>
          <w:sz w:val="28"/>
          <w:szCs w:val="28"/>
          <w:shd w:val="clear" w:color="auto" w:fill="FFFFFF"/>
        </w:rPr>
        <w:t xml:space="preserve">е определены источники финансирования Движения. </w:t>
      </w:r>
    </w:p>
    <w:p w:rsidR="00D07A95" w:rsidRPr="009B1A7E" w:rsidRDefault="00D07A95" w:rsidP="00D07A9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изложенного,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поддерживая идею создания единого детского и молодежного движения,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Общественная палата Кабардин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о-Балкарской Республики считает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законопроект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предлагаемой редакции </w:t>
      </w:r>
      <w:r w:rsidRPr="009B1A7E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подлежит доработке, в том числе и по изложенным причинам.</w:t>
      </w:r>
    </w:p>
    <w:p w:rsidR="00D07A95" w:rsidRPr="009B1A7E" w:rsidRDefault="00D07A95" w:rsidP="00D07A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A95" w:rsidRPr="009B1A7E" w:rsidRDefault="00D07A95" w:rsidP="00D07A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A95" w:rsidRPr="009B1A7E" w:rsidRDefault="00D07A95" w:rsidP="00D07A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A95" w:rsidRPr="009B1A7E" w:rsidRDefault="00D07A95" w:rsidP="00D07A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A95" w:rsidRDefault="00D07A95" w:rsidP="00D07A95"/>
    <w:p w:rsidR="00D07A95" w:rsidRDefault="00D07A95" w:rsidP="00D07A95"/>
    <w:p w:rsidR="00642665" w:rsidRDefault="00642665"/>
    <w:sectPr w:rsidR="00642665" w:rsidSect="00C151A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2568"/>
      <w:docPartObj>
        <w:docPartGallery w:val="Page Numbers (Top of Page)"/>
        <w:docPartUnique/>
      </w:docPartObj>
    </w:sdtPr>
    <w:sdtEndPr/>
    <w:sdtContent>
      <w:p w:rsidR="00C151AB" w:rsidRDefault="00EF1F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51AB" w:rsidRDefault="00EF1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95"/>
    <w:rsid w:val="00642665"/>
    <w:rsid w:val="00D07A95"/>
    <w:rsid w:val="00E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70F3-A8EC-4217-BCF7-16063AD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07A95"/>
  </w:style>
  <w:style w:type="paragraph" w:styleId="a4">
    <w:name w:val="header"/>
    <w:basedOn w:val="a"/>
    <w:link w:val="a5"/>
    <w:uiPriority w:val="99"/>
    <w:unhideWhenUsed/>
    <w:rsid w:val="00D0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2</cp:revision>
  <dcterms:created xsi:type="dcterms:W3CDTF">2022-06-01T14:07:00Z</dcterms:created>
  <dcterms:modified xsi:type="dcterms:W3CDTF">2022-06-01T14:11:00Z</dcterms:modified>
</cp:coreProperties>
</file>